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664F0" w14:textId="77777777" w:rsidR="00580856" w:rsidRPr="00AC6769" w:rsidRDefault="00580856" w:rsidP="00612486">
      <w:pPr>
        <w:spacing w:after="0"/>
        <w:jc w:val="center"/>
        <w:rPr>
          <w:rFonts w:cstheme="minorHAnsi"/>
          <w:b/>
          <w:sz w:val="28"/>
        </w:rPr>
      </w:pPr>
      <w:bookmarkStart w:id="0" w:name="_Hlk95216827"/>
      <w:r w:rsidRPr="00AC6769">
        <w:rPr>
          <w:rFonts w:cstheme="minorHAnsi"/>
          <w:b/>
          <w:sz w:val="28"/>
        </w:rPr>
        <w:t>Committee on Admission, Readmission and Retention</w:t>
      </w:r>
    </w:p>
    <w:p w14:paraId="737B45B1" w14:textId="77777777" w:rsidR="00612486" w:rsidRPr="00AC6769" w:rsidRDefault="00612486" w:rsidP="00DC3E7D">
      <w:pPr>
        <w:spacing w:after="0"/>
        <w:jc w:val="center"/>
        <w:rPr>
          <w:rFonts w:cstheme="minorHAnsi"/>
          <w:b/>
          <w:sz w:val="28"/>
        </w:rPr>
      </w:pPr>
      <w:r w:rsidRPr="00AC6769">
        <w:rPr>
          <w:rFonts w:cstheme="minorHAnsi"/>
          <w:b/>
          <w:sz w:val="28"/>
        </w:rPr>
        <w:t>Annual Report</w:t>
      </w:r>
    </w:p>
    <w:p w14:paraId="5B2D96E7" w14:textId="77777777" w:rsidR="00612486" w:rsidRPr="00AC6769" w:rsidRDefault="00612486" w:rsidP="00612486">
      <w:pPr>
        <w:spacing w:after="0"/>
        <w:rPr>
          <w:rFonts w:cstheme="minorHAnsi"/>
          <w:b/>
          <w:u w:val="single"/>
        </w:rPr>
      </w:pPr>
    </w:p>
    <w:p w14:paraId="7F0302A4" w14:textId="77777777" w:rsidR="00612486" w:rsidRPr="00AC6769" w:rsidRDefault="00612486" w:rsidP="00612486">
      <w:pPr>
        <w:spacing w:after="0"/>
        <w:rPr>
          <w:rFonts w:cstheme="minorHAnsi"/>
          <w:b/>
          <w:u w:val="single"/>
        </w:rPr>
      </w:pPr>
      <w:r w:rsidRPr="00AC6769">
        <w:rPr>
          <w:rFonts w:cstheme="minorHAnsi"/>
          <w:b/>
          <w:u w:val="single"/>
        </w:rPr>
        <w:t xml:space="preserve">Part 1: </w:t>
      </w:r>
      <w:r w:rsidR="009E4EFA" w:rsidRPr="00AC6769">
        <w:rPr>
          <w:rFonts w:cstheme="minorHAnsi"/>
          <w:b/>
          <w:u w:val="single"/>
        </w:rPr>
        <w:t>Academic Standing Actions</w:t>
      </w:r>
    </w:p>
    <w:p w14:paraId="31894EE8" w14:textId="77777777" w:rsidR="00A12502" w:rsidRPr="00AC6769" w:rsidRDefault="00612486" w:rsidP="00612486">
      <w:pPr>
        <w:spacing w:after="0"/>
        <w:rPr>
          <w:rFonts w:cstheme="minorHAnsi"/>
        </w:rPr>
      </w:pPr>
      <w:r w:rsidRPr="00AC6769">
        <w:rPr>
          <w:rFonts w:cstheme="minorHAnsi"/>
        </w:rPr>
        <w:t xml:space="preserve">At </w:t>
      </w:r>
      <w:r w:rsidR="00A12502" w:rsidRPr="00AC6769">
        <w:rPr>
          <w:rFonts w:cstheme="minorHAnsi"/>
        </w:rPr>
        <w:t>the end of each full academic term, academic standing is reviewed for each student. The chart below provides the changes in each academic standing level. Included in this chart are the number of undergraduate students that changed from a negative academic standing status to “Good Academic Standing”, meaning their UNI GPA is now above 2.00 after previously being below.</w:t>
      </w:r>
    </w:p>
    <w:p w14:paraId="7BA4E189" w14:textId="77777777" w:rsidR="00A12502" w:rsidRPr="00AC6769" w:rsidRDefault="00A12502" w:rsidP="00612486">
      <w:pPr>
        <w:spacing w:after="0"/>
        <w:rPr>
          <w:rFonts w:cstheme="minorHAnsi"/>
        </w:rPr>
      </w:pPr>
    </w:p>
    <w:p w14:paraId="7F6D3B01" w14:textId="77777777" w:rsidR="00612486" w:rsidRPr="00AC6769" w:rsidRDefault="00A12502" w:rsidP="00612486">
      <w:pPr>
        <w:spacing w:after="0"/>
        <w:rPr>
          <w:rFonts w:cstheme="minorHAnsi"/>
        </w:rPr>
      </w:pPr>
      <w:r w:rsidRPr="00AC6769">
        <w:rPr>
          <w:rFonts w:cstheme="minorHAnsi"/>
        </w:rPr>
        <w:t>It is important to note that during Summer terms, students’ academic standing is only able to move positively. Otherwise, their academic standing from Spring is copied over to the Summer.</w:t>
      </w:r>
    </w:p>
    <w:p w14:paraId="1C7D877B" w14:textId="77777777" w:rsidR="009E4EFA" w:rsidRPr="00AC6769" w:rsidRDefault="009E4EFA" w:rsidP="00612486">
      <w:pPr>
        <w:spacing w:after="0"/>
        <w:rPr>
          <w:rFonts w:cstheme="minorHAnsi"/>
        </w:rPr>
      </w:pPr>
    </w:p>
    <w:tbl>
      <w:tblPr>
        <w:tblStyle w:val="GridTable1Light"/>
        <w:tblW w:w="8641" w:type="dxa"/>
        <w:tblLayout w:type="fixed"/>
        <w:tblLook w:val="04A0" w:firstRow="1" w:lastRow="0" w:firstColumn="1" w:lastColumn="0" w:noHBand="0" w:noVBand="1"/>
      </w:tblPr>
      <w:tblGrid>
        <w:gridCol w:w="3907"/>
        <w:gridCol w:w="1578"/>
        <w:gridCol w:w="1440"/>
        <w:gridCol w:w="1716"/>
      </w:tblGrid>
      <w:tr w:rsidR="009E4EFA" w:rsidRPr="00AC6769" w14:paraId="4C8B9D33" w14:textId="77777777" w:rsidTr="00A12502">
        <w:trPr>
          <w:cnfStyle w:val="100000000000" w:firstRow="1" w:lastRow="0" w:firstColumn="0" w:lastColumn="0" w:oddVBand="0" w:evenVBand="0" w:oddHBand="0" w:evenHBand="0" w:firstRowFirstColumn="0" w:firstRowLastColumn="0" w:lastRowFirstColumn="0" w:lastRowLastColumn="0"/>
          <w:trHeight w:val="409"/>
        </w:trPr>
        <w:tc>
          <w:tcPr>
            <w:cnfStyle w:val="001000000000" w:firstRow="0" w:lastRow="0" w:firstColumn="1" w:lastColumn="0" w:oddVBand="0" w:evenVBand="0" w:oddHBand="0" w:evenHBand="0" w:firstRowFirstColumn="0" w:firstRowLastColumn="0" w:lastRowFirstColumn="0" w:lastRowLastColumn="0"/>
            <w:tcW w:w="3907" w:type="dxa"/>
            <w:shd w:val="clear" w:color="auto" w:fill="E7E6E6" w:themeFill="background2"/>
          </w:tcPr>
          <w:p w14:paraId="16C345BD" w14:textId="77777777" w:rsidR="009E4EFA" w:rsidRPr="00AC6769" w:rsidRDefault="009E4EFA" w:rsidP="00991378">
            <w:pPr>
              <w:rPr>
                <w:rFonts w:cstheme="minorHAnsi"/>
              </w:rPr>
            </w:pPr>
          </w:p>
        </w:tc>
        <w:tc>
          <w:tcPr>
            <w:tcW w:w="1578" w:type="dxa"/>
            <w:shd w:val="clear" w:color="auto" w:fill="E7E6E6" w:themeFill="background2"/>
          </w:tcPr>
          <w:p w14:paraId="5C572525" w14:textId="77777777" w:rsidR="009E4EFA" w:rsidRPr="00AC6769" w:rsidRDefault="009E4EFA" w:rsidP="00A1250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Spring 2021</w:t>
            </w:r>
          </w:p>
        </w:tc>
        <w:tc>
          <w:tcPr>
            <w:tcW w:w="1440" w:type="dxa"/>
            <w:shd w:val="clear" w:color="auto" w:fill="E7E6E6" w:themeFill="background2"/>
          </w:tcPr>
          <w:p w14:paraId="1638F335" w14:textId="77777777" w:rsidR="009E4EFA" w:rsidRPr="00AC6769" w:rsidRDefault="009E4EFA" w:rsidP="00A1250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Summer 2021</w:t>
            </w:r>
          </w:p>
        </w:tc>
        <w:tc>
          <w:tcPr>
            <w:tcW w:w="1716" w:type="dxa"/>
            <w:shd w:val="clear" w:color="auto" w:fill="E7E6E6" w:themeFill="background2"/>
          </w:tcPr>
          <w:p w14:paraId="21D6E7E9" w14:textId="77777777" w:rsidR="009E4EFA" w:rsidRPr="00AC6769" w:rsidRDefault="009E4EFA" w:rsidP="00A12502">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Fall 2021</w:t>
            </w:r>
          </w:p>
        </w:tc>
      </w:tr>
      <w:tr w:rsidR="009E4EFA" w:rsidRPr="00AC6769" w14:paraId="105CB5A2"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top w:val="single" w:sz="12" w:space="0" w:color="666666" w:themeColor="text1" w:themeTint="99"/>
            </w:tcBorders>
          </w:tcPr>
          <w:p w14:paraId="231A9947" w14:textId="77777777" w:rsidR="009E4EFA" w:rsidRPr="00AC6769" w:rsidRDefault="009E4EFA" w:rsidP="00991378">
            <w:pPr>
              <w:rPr>
                <w:rFonts w:cstheme="minorHAnsi"/>
              </w:rPr>
            </w:pPr>
            <w:r w:rsidRPr="00AC6769">
              <w:rPr>
                <w:rFonts w:cstheme="minorHAnsi"/>
              </w:rPr>
              <w:t>Academic Alert</w:t>
            </w:r>
          </w:p>
        </w:tc>
        <w:tc>
          <w:tcPr>
            <w:tcW w:w="1578" w:type="dxa"/>
            <w:tcBorders>
              <w:top w:val="single" w:sz="12" w:space="0" w:color="666666" w:themeColor="text1" w:themeTint="99"/>
            </w:tcBorders>
            <w:shd w:val="clear" w:color="auto" w:fill="auto"/>
          </w:tcPr>
          <w:p w14:paraId="4E76F3E9"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16</w:t>
            </w:r>
          </w:p>
        </w:tc>
        <w:tc>
          <w:tcPr>
            <w:tcW w:w="1440" w:type="dxa"/>
            <w:tcBorders>
              <w:top w:val="single" w:sz="12" w:space="0" w:color="666666" w:themeColor="text1" w:themeTint="99"/>
            </w:tcBorders>
            <w:shd w:val="clear" w:color="auto" w:fill="auto"/>
          </w:tcPr>
          <w:p w14:paraId="4478178C"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n/a</w:t>
            </w:r>
          </w:p>
        </w:tc>
        <w:tc>
          <w:tcPr>
            <w:tcW w:w="1716" w:type="dxa"/>
            <w:tcBorders>
              <w:top w:val="single" w:sz="12" w:space="0" w:color="666666" w:themeColor="text1" w:themeTint="99"/>
            </w:tcBorders>
            <w:shd w:val="clear" w:color="auto" w:fill="auto"/>
          </w:tcPr>
          <w:p w14:paraId="4E2C30E6"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172</w:t>
            </w:r>
          </w:p>
        </w:tc>
      </w:tr>
      <w:tr w:rsidR="009E4EFA" w:rsidRPr="00AC6769" w14:paraId="52302332" w14:textId="77777777" w:rsidTr="00A12502">
        <w:trPr>
          <w:trHeight w:val="216"/>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auto"/>
            </w:tcBorders>
          </w:tcPr>
          <w:p w14:paraId="4FB0C5AB" w14:textId="77777777" w:rsidR="009E4EFA" w:rsidRPr="00AC6769" w:rsidRDefault="009E4EFA" w:rsidP="00991378">
            <w:pPr>
              <w:rPr>
                <w:rFonts w:cstheme="minorHAnsi"/>
                <w:b w:val="0"/>
              </w:rPr>
            </w:pPr>
            <w:r w:rsidRPr="00AC6769">
              <w:rPr>
                <w:rFonts w:cstheme="minorHAnsi"/>
                <w:b w:val="0"/>
              </w:rPr>
              <w:t>% of Total Negative Changes</w:t>
            </w:r>
          </w:p>
        </w:tc>
        <w:tc>
          <w:tcPr>
            <w:tcW w:w="1578" w:type="dxa"/>
            <w:tcBorders>
              <w:bottom w:val="single" w:sz="4" w:space="0" w:color="auto"/>
            </w:tcBorders>
            <w:shd w:val="clear" w:color="auto" w:fill="auto"/>
          </w:tcPr>
          <w:p w14:paraId="4B9C0557"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4.60%</w:t>
            </w:r>
          </w:p>
        </w:tc>
        <w:tc>
          <w:tcPr>
            <w:tcW w:w="1440" w:type="dxa"/>
            <w:tcBorders>
              <w:bottom w:val="single" w:sz="4" w:space="0" w:color="auto"/>
            </w:tcBorders>
            <w:shd w:val="clear" w:color="auto" w:fill="auto"/>
          </w:tcPr>
          <w:p w14:paraId="3B85BABD"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auto"/>
            </w:tcBorders>
            <w:shd w:val="clear" w:color="auto" w:fill="auto"/>
          </w:tcPr>
          <w:p w14:paraId="1459C03A"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33.14%</w:t>
            </w:r>
          </w:p>
        </w:tc>
      </w:tr>
      <w:tr w:rsidR="009E4EFA" w:rsidRPr="00AC6769" w14:paraId="1ABBE64E"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tcBorders>
          </w:tcPr>
          <w:p w14:paraId="1BC322DD" w14:textId="77777777" w:rsidR="009E4EFA" w:rsidRPr="00AC6769" w:rsidRDefault="009E4EFA" w:rsidP="00991378">
            <w:pPr>
              <w:rPr>
                <w:rFonts w:cstheme="minorHAnsi"/>
              </w:rPr>
            </w:pPr>
            <w:r w:rsidRPr="00AC6769">
              <w:rPr>
                <w:rFonts w:cstheme="minorHAnsi"/>
              </w:rPr>
              <w:t>Academic Probation</w:t>
            </w:r>
          </w:p>
        </w:tc>
        <w:tc>
          <w:tcPr>
            <w:tcW w:w="1578" w:type="dxa"/>
            <w:tcBorders>
              <w:top w:val="single" w:sz="4" w:space="0" w:color="auto"/>
            </w:tcBorders>
            <w:shd w:val="clear" w:color="auto" w:fill="auto"/>
          </w:tcPr>
          <w:p w14:paraId="281D28C4"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203</w:t>
            </w:r>
          </w:p>
        </w:tc>
        <w:tc>
          <w:tcPr>
            <w:tcW w:w="1440" w:type="dxa"/>
            <w:tcBorders>
              <w:top w:val="single" w:sz="4" w:space="0" w:color="auto"/>
            </w:tcBorders>
            <w:shd w:val="clear" w:color="auto" w:fill="auto"/>
          </w:tcPr>
          <w:p w14:paraId="01B1AEB0"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n/a</w:t>
            </w:r>
          </w:p>
        </w:tc>
        <w:tc>
          <w:tcPr>
            <w:tcW w:w="1716" w:type="dxa"/>
            <w:tcBorders>
              <w:top w:val="single" w:sz="4" w:space="0" w:color="auto"/>
            </w:tcBorders>
            <w:shd w:val="clear" w:color="auto" w:fill="auto"/>
          </w:tcPr>
          <w:p w14:paraId="1887545B"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221</w:t>
            </w:r>
          </w:p>
        </w:tc>
      </w:tr>
      <w:tr w:rsidR="009E4EFA" w:rsidRPr="00AC6769" w14:paraId="3D793081"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auto"/>
            </w:tcBorders>
          </w:tcPr>
          <w:p w14:paraId="357EEE24" w14:textId="77777777" w:rsidR="009E4EFA" w:rsidRPr="00AC6769" w:rsidRDefault="009E4EFA" w:rsidP="00991378">
            <w:pPr>
              <w:rPr>
                <w:rFonts w:cstheme="minorHAnsi"/>
              </w:rPr>
            </w:pPr>
            <w:r w:rsidRPr="00AC6769">
              <w:rPr>
                <w:rFonts w:cstheme="minorHAnsi"/>
                <w:b w:val="0"/>
              </w:rPr>
              <w:t>% of Total Negative Changes</w:t>
            </w:r>
          </w:p>
        </w:tc>
        <w:tc>
          <w:tcPr>
            <w:tcW w:w="1578" w:type="dxa"/>
            <w:tcBorders>
              <w:bottom w:val="single" w:sz="4" w:space="0" w:color="auto"/>
            </w:tcBorders>
            <w:shd w:val="clear" w:color="auto" w:fill="auto"/>
          </w:tcPr>
          <w:p w14:paraId="6182B092"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58.33%</w:t>
            </w:r>
          </w:p>
        </w:tc>
        <w:tc>
          <w:tcPr>
            <w:tcW w:w="1440" w:type="dxa"/>
            <w:tcBorders>
              <w:bottom w:val="single" w:sz="4" w:space="0" w:color="auto"/>
            </w:tcBorders>
            <w:shd w:val="clear" w:color="auto" w:fill="auto"/>
          </w:tcPr>
          <w:p w14:paraId="6DBCB48B"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auto"/>
            </w:tcBorders>
            <w:shd w:val="clear" w:color="auto" w:fill="auto"/>
          </w:tcPr>
          <w:p w14:paraId="7B671AB9"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42.58%</w:t>
            </w:r>
          </w:p>
        </w:tc>
      </w:tr>
      <w:tr w:rsidR="009E4EFA" w:rsidRPr="00AC6769" w14:paraId="0B1FB201" w14:textId="77777777" w:rsidTr="00A12502">
        <w:trPr>
          <w:trHeight w:val="216"/>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tcBorders>
          </w:tcPr>
          <w:p w14:paraId="6D46A418" w14:textId="77777777" w:rsidR="009E4EFA" w:rsidRPr="00AC6769" w:rsidRDefault="009E4EFA" w:rsidP="00991378">
            <w:pPr>
              <w:rPr>
                <w:rFonts w:cstheme="minorHAnsi"/>
              </w:rPr>
            </w:pPr>
            <w:r w:rsidRPr="00AC6769">
              <w:rPr>
                <w:rFonts w:cstheme="minorHAnsi"/>
              </w:rPr>
              <w:t>Continuation of Probation</w:t>
            </w:r>
          </w:p>
        </w:tc>
        <w:tc>
          <w:tcPr>
            <w:tcW w:w="1578" w:type="dxa"/>
            <w:tcBorders>
              <w:top w:val="single" w:sz="4" w:space="0" w:color="auto"/>
            </w:tcBorders>
            <w:shd w:val="clear" w:color="auto" w:fill="auto"/>
          </w:tcPr>
          <w:p w14:paraId="4A1227C0"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40</w:t>
            </w:r>
          </w:p>
        </w:tc>
        <w:tc>
          <w:tcPr>
            <w:tcW w:w="1440" w:type="dxa"/>
            <w:tcBorders>
              <w:top w:val="single" w:sz="4" w:space="0" w:color="auto"/>
            </w:tcBorders>
            <w:shd w:val="clear" w:color="auto" w:fill="auto"/>
          </w:tcPr>
          <w:p w14:paraId="358BD47B"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n/a</w:t>
            </w:r>
          </w:p>
        </w:tc>
        <w:tc>
          <w:tcPr>
            <w:tcW w:w="1716" w:type="dxa"/>
            <w:tcBorders>
              <w:top w:val="single" w:sz="4" w:space="0" w:color="auto"/>
            </w:tcBorders>
            <w:shd w:val="clear" w:color="auto" w:fill="auto"/>
          </w:tcPr>
          <w:p w14:paraId="50634375"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32</w:t>
            </w:r>
          </w:p>
        </w:tc>
      </w:tr>
      <w:tr w:rsidR="009E4EFA" w:rsidRPr="00AC6769" w14:paraId="10818EB8"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auto"/>
            </w:tcBorders>
          </w:tcPr>
          <w:p w14:paraId="59FC8350" w14:textId="77777777" w:rsidR="009E4EFA" w:rsidRPr="00AC6769" w:rsidRDefault="009E4EFA" w:rsidP="00991378">
            <w:pPr>
              <w:rPr>
                <w:rFonts w:cstheme="minorHAnsi"/>
              </w:rPr>
            </w:pPr>
            <w:r w:rsidRPr="00AC6769">
              <w:rPr>
                <w:rFonts w:cstheme="minorHAnsi"/>
                <w:b w:val="0"/>
              </w:rPr>
              <w:t>% of Total Negative Changes</w:t>
            </w:r>
          </w:p>
        </w:tc>
        <w:tc>
          <w:tcPr>
            <w:tcW w:w="1578" w:type="dxa"/>
            <w:tcBorders>
              <w:bottom w:val="single" w:sz="4" w:space="0" w:color="auto"/>
            </w:tcBorders>
            <w:shd w:val="clear" w:color="auto" w:fill="auto"/>
          </w:tcPr>
          <w:p w14:paraId="474681AF"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11.49%</w:t>
            </w:r>
          </w:p>
        </w:tc>
        <w:tc>
          <w:tcPr>
            <w:tcW w:w="1440" w:type="dxa"/>
            <w:tcBorders>
              <w:bottom w:val="single" w:sz="4" w:space="0" w:color="auto"/>
            </w:tcBorders>
            <w:shd w:val="clear" w:color="auto" w:fill="auto"/>
          </w:tcPr>
          <w:p w14:paraId="76E9E672"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auto"/>
            </w:tcBorders>
            <w:shd w:val="clear" w:color="auto" w:fill="auto"/>
          </w:tcPr>
          <w:p w14:paraId="063A9562"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6.17%</w:t>
            </w:r>
          </w:p>
        </w:tc>
      </w:tr>
      <w:tr w:rsidR="009E4EFA" w:rsidRPr="00AC6769" w14:paraId="4493084F" w14:textId="77777777" w:rsidTr="00A12502">
        <w:trPr>
          <w:trHeight w:val="216"/>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tcBorders>
          </w:tcPr>
          <w:p w14:paraId="554CF292" w14:textId="77777777" w:rsidR="009E4EFA" w:rsidRPr="00AC6769" w:rsidRDefault="009E4EFA" w:rsidP="00991378">
            <w:pPr>
              <w:rPr>
                <w:rFonts w:cstheme="minorHAnsi"/>
              </w:rPr>
            </w:pPr>
            <w:r w:rsidRPr="00AC6769">
              <w:rPr>
                <w:rFonts w:cstheme="minorHAnsi"/>
              </w:rPr>
              <w:t>Suspension (Total)</w:t>
            </w:r>
          </w:p>
        </w:tc>
        <w:tc>
          <w:tcPr>
            <w:tcW w:w="1578" w:type="dxa"/>
            <w:tcBorders>
              <w:top w:val="single" w:sz="4" w:space="0" w:color="auto"/>
            </w:tcBorders>
            <w:shd w:val="clear" w:color="auto" w:fill="auto"/>
          </w:tcPr>
          <w:p w14:paraId="0402C10E"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89</w:t>
            </w:r>
          </w:p>
        </w:tc>
        <w:tc>
          <w:tcPr>
            <w:tcW w:w="1440" w:type="dxa"/>
            <w:tcBorders>
              <w:top w:val="single" w:sz="4" w:space="0" w:color="auto"/>
            </w:tcBorders>
            <w:shd w:val="clear" w:color="auto" w:fill="auto"/>
          </w:tcPr>
          <w:p w14:paraId="78B4ECC8"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n/a</w:t>
            </w:r>
          </w:p>
        </w:tc>
        <w:tc>
          <w:tcPr>
            <w:tcW w:w="1716" w:type="dxa"/>
            <w:tcBorders>
              <w:top w:val="single" w:sz="4" w:space="0" w:color="auto"/>
            </w:tcBorders>
            <w:shd w:val="clear" w:color="auto" w:fill="auto"/>
          </w:tcPr>
          <w:p w14:paraId="4FECA56C"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b/>
              </w:rPr>
            </w:pPr>
            <w:r w:rsidRPr="00AC6769">
              <w:rPr>
                <w:rFonts w:cstheme="minorHAnsi"/>
                <w:b/>
              </w:rPr>
              <w:t>94</w:t>
            </w:r>
          </w:p>
        </w:tc>
      </w:tr>
      <w:tr w:rsidR="009E4EFA" w:rsidRPr="00AC6769" w14:paraId="50E8D4A2"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auto"/>
            </w:tcBorders>
          </w:tcPr>
          <w:p w14:paraId="57B2A400" w14:textId="77777777" w:rsidR="009E4EFA" w:rsidRPr="00AC6769" w:rsidRDefault="009E4EFA" w:rsidP="00991378">
            <w:pPr>
              <w:rPr>
                <w:rFonts w:cstheme="minorHAnsi"/>
              </w:rPr>
            </w:pPr>
            <w:r w:rsidRPr="00AC6769">
              <w:rPr>
                <w:rFonts w:cstheme="minorHAnsi"/>
                <w:b w:val="0"/>
              </w:rPr>
              <w:t>% of Total Negative Changes</w:t>
            </w:r>
          </w:p>
        </w:tc>
        <w:tc>
          <w:tcPr>
            <w:tcW w:w="1578" w:type="dxa"/>
            <w:tcBorders>
              <w:bottom w:val="single" w:sz="4" w:space="0" w:color="auto"/>
            </w:tcBorders>
            <w:shd w:val="clear" w:color="auto" w:fill="auto"/>
          </w:tcPr>
          <w:p w14:paraId="7B4A8404"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25.57%</w:t>
            </w:r>
          </w:p>
        </w:tc>
        <w:tc>
          <w:tcPr>
            <w:tcW w:w="1440" w:type="dxa"/>
            <w:tcBorders>
              <w:bottom w:val="single" w:sz="4" w:space="0" w:color="auto"/>
            </w:tcBorders>
            <w:shd w:val="clear" w:color="auto" w:fill="auto"/>
          </w:tcPr>
          <w:p w14:paraId="74B77C7E"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auto"/>
            </w:tcBorders>
            <w:shd w:val="clear" w:color="auto" w:fill="auto"/>
          </w:tcPr>
          <w:p w14:paraId="3E2FF578"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18.11%</w:t>
            </w:r>
          </w:p>
        </w:tc>
      </w:tr>
      <w:tr w:rsidR="009E4EFA" w:rsidRPr="00AC6769" w14:paraId="673FB816" w14:textId="77777777" w:rsidTr="00A12502">
        <w:trPr>
          <w:trHeight w:val="216"/>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tcBorders>
          </w:tcPr>
          <w:p w14:paraId="0F32351A" w14:textId="77777777" w:rsidR="009E4EFA" w:rsidRPr="00AC6769" w:rsidRDefault="00A12502" w:rsidP="00991378">
            <w:pPr>
              <w:rPr>
                <w:rFonts w:cstheme="minorHAnsi"/>
              </w:rPr>
            </w:pPr>
            <w:r w:rsidRPr="00AC6769">
              <w:rPr>
                <w:rFonts w:cstheme="minorHAnsi"/>
              </w:rPr>
              <w:t xml:space="preserve">     </w:t>
            </w:r>
            <w:r w:rsidR="009E4EFA" w:rsidRPr="00AC6769">
              <w:rPr>
                <w:rFonts w:cstheme="minorHAnsi"/>
              </w:rPr>
              <w:t>First</w:t>
            </w:r>
          </w:p>
        </w:tc>
        <w:tc>
          <w:tcPr>
            <w:tcW w:w="1578" w:type="dxa"/>
            <w:tcBorders>
              <w:top w:val="single" w:sz="4" w:space="0" w:color="auto"/>
            </w:tcBorders>
            <w:shd w:val="clear" w:color="auto" w:fill="auto"/>
          </w:tcPr>
          <w:p w14:paraId="142BEFA7"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79</w:t>
            </w:r>
          </w:p>
        </w:tc>
        <w:tc>
          <w:tcPr>
            <w:tcW w:w="1440" w:type="dxa"/>
            <w:tcBorders>
              <w:top w:val="single" w:sz="4" w:space="0" w:color="auto"/>
            </w:tcBorders>
            <w:shd w:val="clear" w:color="auto" w:fill="auto"/>
          </w:tcPr>
          <w:p w14:paraId="74959EE6"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top w:val="single" w:sz="4" w:space="0" w:color="auto"/>
            </w:tcBorders>
            <w:shd w:val="clear" w:color="auto" w:fill="auto"/>
          </w:tcPr>
          <w:p w14:paraId="2AFDD777"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77</w:t>
            </w:r>
          </w:p>
        </w:tc>
      </w:tr>
      <w:tr w:rsidR="009E4EFA" w:rsidRPr="00AC6769" w14:paraId="562C8632"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999999" w:themeColor="text1" w:themeTint="66"/>
            </w:tcBorders>
          </w:tcPr>
          <w:p w14:paraId="12860541" w14:textId="77777777" w:rsidR="009E4EFA" w:rsidRPr="00AC6769" w:rsidRDefault="00A12502" w:rsidP="00991378">
            <w:pPr>
              <w:rPr>
                <w:rFonts w:cstheme="minorHAnsi"/>
              </w:rPr>
            </w:pPr>
            <w:r w:rsidRPr="00AC6769">
              <w:rPr>
                <w:rFonts w:cstheme="minorHAnsi"/>
              </w:rPr>
              <w:t xml:space="preserve">     </w:t>
            </w:r>
            <w:r w:rsidR="009E4EFA" w:rsidRPr="00AC6769">
              <w:rPr>
                <w:rFonts w:cstheme="minorHAnsi"/>
              </w:rPr>
              <w:t>Second</w:t>
            </w:r>
          </w:p>
        </w:tc>
        <w:tc>
          <w:tcPr>
            <w:tcW w:w="1578" w:type="dxa"/>
            <w:tcBorders>
              <w:bottom w:val="single" w:sz="4" w:space="0" w:color="999999" w:themeColor="text1" w:themeTint="66"/>
            </w:tcBorders>
            <w:shd w:val="clear" w:color="auto" w:fill="auto"/>
          </w:tcPr>
          <w:p w14:paraId="3A843940"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9</w:t>
            </w:r>
          </w:p>
        </w:tc>
        <w:tc>
          <w:tcPr>
            <w:tcW w:w="1440" w:type="dxa"/>
            <w:tcBorders>
              <w:bottom w:val="single" w:sz="4" w:space="0" w:color="999999" w:themeColor="text1" w:themeTint="66"/>
            </w:tcBorders>
            <w:shd w:val="clear" w:color="auto" w:fill="auto"/>
          </w:tcPr>
          <w:p w14:paraId="7D950D49"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999999" w:themeColor="text1" w:themeTint="66"/>
            </w:tcBorders>
            <w:shd w:val="clear" w:color="auto" w:fill="auto"/>
          </w:tcPr>
          <w:p w14:paraId="5A2B9CD5"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17</w:t>
            </w:r>
          </w:p>
        </w:tc>
      </w:tr>
      <w:tr w:rsidR="009E4EFA" w:rsidRPr="00AC6769" w14:paraId="238F13A7" w14:textId="77777777" w:rsidTr="00A12502">
        <w:trPr>
          <w:trHeight w:val="216"/>
        </w:trPr>
        <w:tc>
          <w:tcPr>
            <w:cnfStyle w:val="001000000000" w:firstRow="0" w:lastRow="0" w:firstColumn="1" w:lastColumn="0" w:oddVBand="0" w:evenVBand="0" w:oddHBand="0" w:evenHBand="0" w:firstRowFirstColumn="0" w:firstRowLastColumn="0" w:lastRowFirstColumn="0" w:lastRowLastColumn="0"/>
            <w:tcW w:w="3907" w:type="dxa"/>
            <w:tcBorders>
              <w:bottom w:val="single" w:sz="4" w:space="0" w:color="auto"/>
            </w:tcBorders>
          </w:tcPr>
          <w:p w14:paraId="05251ECF" w14:textId="77777777" w:rsidR="009E4EFA" w:rsidRPr="00AC6769" w:rsidRDefault="00A12502" w:rsidP="00991378">
            <w:pPr>
              <w:rPr>
                <w:rFonts w:cstheme="minorHAnsi"/>
              </w:rPr>
            </w:pPr>
            <w:r w:rsidRPr="00AC6769">
              <w:rPr>
                <w:rFonts w:cstheme="minorHAnsi"/>
              </w:rPr>
              <w:t xml:space="preserve">     </w:t>
            </w:r>
            <w:r w:rsidR="009E4EFA" w:rsidRPr="00AC6769">
              <w:rPr>
                <w:rFonts w:cstheme="minorHAnsi"/>
              </w:rPr>
              <w:t>Third (Final)</w:t>
            </w:r>
          </w:p>
        </w:tc>
        <w:tc>
          <w:tcPr>
            <w:tcW w:w="1578" w:type="dxa"/>
            <w:tcBorders>
              <w:bottom w:val="single" w:sz="4" w:space="0" w:color="auto"/>
            </w:tcBorders>
            <w:shd w:val="clear" w:color="auto" w:fill="auto"/>
          </w:tcPr>
          <w:p w14:paraId="7C1B9B3A"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1</w:t>
            </w:r>
          </w:p>
        </w:tc>
        <w:tc>
          <w:tcPr>
            <w:tcW w:w="1440" w:type="dxa"/>
            <w:tcBorders>
              <w:bottom w:val="single" w:sz="4" w:space="0" w:color="auto"/>
            </w:tcBorders>
            <w:shd w:val="clear" w:color="auto" w:fill="auto"/>
          </w:tcPr>
          <w:p w14:paraId="4A1EEA78" w14:textId="77777777" w:rsidR="009E4EFA" w:rsidRPr="00AC6769" w:rsidRDefault="009E4EF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p>
        </w:tc>
        <w:tc>
          <w:tcPr>
            <w:tcW w:w="1716" w:type="dxa"/>
            <w:tcBorders>
              <w:bottom w:val="single" w:sz="4" w:space="0" w:color="auto"/>
            </w:tcBorders>
            <w:shd w:val="clear" w:color="auto" w:fill="auto"/>
          </w:tcPr>
          <w:p w14:paraId="1F15D4BD"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0</w:t>
            </w:r>
          </w:p>
        </w:tc>
      </w:tr>
      <w:tr w:rsidR="009E4EFA" w:rsidRPr="00AC6769" w14:paraId="05BF3C87"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bottom w:val="single" w:sz="4" w:space="0" w:color="auto"/>
            </w:tcBorders>
            <w:shd w:val="clear" w:color="auto" w:fill="C6DAE7"/>
          </w:tcPr>
          <w:p w14:paraId="42F1C1F6" w14:textId="77777777" w:rsidR="009E4EFA" w:rsidRPr="00AC6769" w:rsidRDefault="009E4EFA" w:rsidP="00991378">
            <w:pPr>
              <w:rPr>
                <w:rFonts w:cstheme="minorHAnsi"/>
              </w:rPr>
            </w:pPr>
            <w:r w:rsidRPr="00AC6769">
              <w:rPr>
                <w:rFonts w:cstheme="minorHAnsi"/>
              </w:rPr>
              <w:t>Changed to Good</w:t>
            </w:r>
          </w:p>
        </w:tc>
        <w:tc>
          <w:tcPr>
            <w:tcW w:w="1578" w:type="dxa"/>
            <w:tcBorders>
              <w:top w:val="single" w:sz="4" w:space="0" w:color="auto"/>
              <w:bottom w:val="single" w:sz="4" w:space="0" w:color="auto"/>
            </w:tcBorders>
            <w:shd w:val="clear" w:color="auto" w:fill="C6DAE7"/>
          </w:tcPr>
          <w:p w14:paraId="4FAAE178"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97</w:t>
            </w:r>
          </w:p>
        </w:tc>
        <w:tc>
          <w:tcPr>
            <w:tcW w:w="1440" w:type="dxa"/>
            <w:tcBorders>
              <w:top w:val="single" w:sz="4" w:space="0" w:color="auto"/>
              <w:bottom w:val="single" w:sz="4" w:space="0" w:color="auto"/>
            </w:tcBorders>
            <w:shd w:val="clear" w:color="auto" w:fill="C6DAE7"/>
          </w:tcPr>
          <w:p w14:paraId="69989008"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7</w:t>
            </w:r>
          </w:p>
        </w:tc>
        <w:tc>
          <w:tcPr>
            <w:tcW w:w="1716" w:type="dxa"/>
            <w:tcBorders>
              <w:top w:val="single" w:sz="4" w:space="0" w:color="auto"/>
              <w:bottom w:val="single" w:sz="4" w:space="0" w:color="auto"/>
            </w:tcBorders>
            <w:shd w:val="clear" w:color="auto" w:fill="C6DAE7"/>
          </w:tcPr>
          <w:p w14:paraId="1CDA8223" w14:textId="77777777" w:rsidR="009E4EFA" w:rsidRPr="00AC6769" w:rsidRDefault="00393683"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83</w:t>
            </w:r>
          </w:p>
        </w:tc>
      </w:tr>
      <w:tr w:rsidR="009E4EFA" w:rsidRPr="00AC6769" w14:paraId="352ED3F9"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tcBorders>
              <w:top w:val="single" w:sz="4" w:space="0" w:color="auto"/>
            </w:tcBorders>
            <w:shd w:val="clear" w:color="auto" w:fill="E5E1E6"/>
          </w:tcPr>
          <w:p w14:paraId="1481C948" w14:textId="77777777" w:rsidR="009E4EFA" w:rsidRPr="00AC6769" w:rsidRDefault="009E4EFA" w:rsidP="00991378">
            <w:pPr>
              <w:rPr>
                <w:rFonts w:cstheme="minorHAnsi"/>
              </w:rPr>
            </w:pPr>
            <w:r w:rsidRPr="00AC6769">
              <w:rPr>
                <w:rFonts w:cstheme="minorHAnsi"/>
              </w:rPr>
              <w:t>Total Changes in Standing</w:t>
            </w:r>
          </w:p>
        </w:tc>
        <w:tc>
          <w:tcPr>
            <w:tcW w:w="1578" w:type="dxa"/>
            <w:tcBorders>
              <w:top w:val="single" w:sz="4" w:space="0" w:color="auto"/>
            </w:tcBorders>
            <w:shd w:val="clear" w:color="auto" w:fill="E5E1E6"/>
          </w:tcPr>
          <w:p w14:paraId="52139883"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445</w:t>
            </w:r>
          </w:p>
        </w:tc>
        <w:tc>
          <w:tcPr>
            <w:tcW w:w="1440" w:type="dxa"/>
            <w:tcBorders>
              <w:top w:val="single" w:sz="4" w:space="0" w:color="auto"/>
            </w:tcBorders>
            <w:shd w:val="clear" w:color="auto" w:fill="E5E1E6"/>
          </w:tcPr>
          <w:p w14:paraId="54CEACC2"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7</w:t>
            </w:r>
          </w:p>
        </w:tc>
        <w:tc>
          <w:tcPr>
            <w:tcW w:w="1716" w:type="dxa"/>
            <w:tcBorders>
              <w:top w:val="single" w:sz="4" w:space="0" w:color="auto"/>
            </w:tcBorders>
            <w:shd w:val="clear" w:color="auto" w:fill="E5E1E6"/>
          </w:tcPr>
          <w:p w14:paraId="17C68025" w14:textId="77777777" w:rsidR="009E4EFA" w:rsidRPr="00AC6769" w:rsidRDefault="00E4343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602</w:t>
            </w:r>
          </w:p>
        </w:tc>
      </w:tr>
      <w:tr w:rsidR="009E4EFA" w:rsidRPr="00AC6769" w14:paraId="54D0B946" w14:textId="77777777" w:rsidTr="00A12502">
        <w:trPr>
          <w:trHeight w:val="229"/>
        </w:trPr>
        <w:tc>
          <w:tcPr>
            <w:cnfStyle w:val="001000000000" w:firstRow="0" w:lastRow="0" w:firstColumn="1" w:lastColumn="0" w:oddVBand="0" w:evenVBand="0" w:oddHBand="0" w:evenHBand="0" w:firstRowFirstColumn="0" w:firstRowLastColumn="0" w:lastRowFirstColumn="0" w:lastRowLastColumn="0"/>
            <w:tcW w:w="3907" w:type="dxa"/>
            <w:shd w:val="clear" w:color="auto" w:fill="E5E1E6"/>
          </w:tcPr>
          <w:p w14:paraId="6086CAB3" w14:textId="77777777" w:rsidR="009E4EFA" w:rsidRPr="00AC6769" w:rsidRDefault="009E4EFA" w:rsidP="00991378">
            <w:pPr>
              <w:rPr>
                <w:rFonts w:cstheme="minorHAnsi"/>
              </w:rPr>
            </w:pPr>
            <w:r w:rsidRPr="00AC6769">
              <w:rPr>
                <w:rFonts w:cstheme="minorHAnsi"/>
              </w:rPr>
              <w:t>Total Negative Changes</w:t>
            </w:r>
          </w:p>
        </w:tc>
        <w:tc>
          <w:tcPr>
            <w:tcW w:w="1578" w:type="dxa"/>
            <w:shd w:val="clear" w:color="auto" w:fill="E5E1E6"/>
          </w:tcPr>
          <w:p w14:paraId="2E1B2DAA"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348</w:t>
            </w:r>
          </w:p>
        </w:tc>
        <w:tc>
          <w:tcPr>
            <w:tcW w:w="1440" w:type="dxa"/>
            <w:shd w:val="clear" w:color="auto" w:fill="E5E1E6"/>
          </w:tcPr>
          <w:p w14:paraId="63B3972A" w14:textId="77777777" w:rsidR="009E4EFA" w:rsidRPr="00AC6769" w:rsidRDefault="00A12502"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n/a</w:t>
            </w:r>
          </w:p>
        </w:tc>
        <w:tc>
          <w:tcPr>
            <w:tcW w:w="1716" w:type="dxa"/>
            <w:shd w:val="clear" w:color="auto" w:fill="E5E1E6"/>
          </w:tcPr>
          <w:p w14:paraId="7BBB203D" w14:textId="77777777" w:rsidR="009E4EFA" w:rsidRPr="00AC6769" w:rsidRDefault="00E4343A" w:rsidP="00A12502">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519</w:t>
            </w:r>
          </w:p>
        </w:tc>
      </w:tr>
    </w:tbl>
    <w:p w14:paraId="666088AC" w14:textId="77777777" w:rsidR="009E4EFA" w:rsidRPr="00AC6769" w:rsidRDefault="009E4EFA" w:rsidP="00612486">
      <w:pPr>
        <w:spacing w:after="0"/>
        <w:rPr>
          <w:rFonts w:cstheme="minorHAnsi"/>
        </w:rPr>
      </w:pPr>
    </w:p>
    <w:p w14:paraId="20680AF3" w14:textId="77777777" w:rsidR="009E4EFA" w:rsidRPr="00AC6769" w:rsidRDefault="009E4EFA" w:rsidP="00612486">
      <w:pPr>
        <w:spacing w:after="0"/>
        <w:rPr>
          <w:rFonts w:cstheme="minorHAnsi"/>
        </w:rPr>
      </w:pPr>
    </w:p>
    <w:p w14:paraId="5278C54C" w14:textId="77777777" w:rsidR="009E4EFA" w:rsidRPr="00AC6769" w:rsidRDefault="009E4EFA" w:rsidP="009E4EFA">
      <w:pPr>
        <w:spacing w:after="0"/>
        <w:rPr>
          <w:rFonts w:cstheme="minorHAnsi"/>
          <w:b/>
          <w:u w:val="single"/>
        </w:rPr>
      </w:pPr>
      <w:r w:rsidRPr="00AC6769">
        <w:rPr>
          <w:rFonts w:cstheme="minorHAnsi"/>
          <w:b/>
          <w:u w:val="single"/>
        </w:rPr>
        <w:t>Part 2: Actions on Applications for Readmission (2/1/2021 through 1/31/2022</w:t>
      </w:r>
    </w:p>
    <w:p w14:paraId="7E35D736" w14:textId="77777777" w:rsidR="009E4EFA" w:rsidRPr="00AC6769" w:rsidRDefault="003263A6" w:rsidP="009E4EFA">
      <w:pPr>
        <w:spacing w:after="0"/>
        <w:rPr>
          <w:rFonts w:cstheme="minorHAnsi"/>
        </w:rPr>
      </w:pPr>
      <w:r w:rsidRPr="00AC6769">
        <w:rPr>
          <w:rFonts w:cstheme="minorHAnsi"/>
        </w:rPr>
        <w:t>Students that have been placed on Academic Suspension are required to take time away from the university. Students seeking to come back prior to the conclusion of the required time frame must apply for the Early Readmission Program (ERP) and appear before CARR. All students readmitted by CARR are required to take a 2 credit Unlocking Motivation and Learning course in their first semester back unless they have previously taken the course. Failure to do so results in the reinstatement of their Academic Suspension.</w:t>
      </w:r>
    </w:p>
    <w:p w14:paraId="728E3451" w14:textId="77777777" w:rsidR="003263A6" w:rsidRPr="00AC6769" w:rsidRDefault="003263A6" w:rsidP="009E4EFA">
      <w:pPr>
        <w:spacing w:after="0"/>
        <w:rPr>
          <w:rFonts w:cstheme="minorHAnsi"/>
        </w:rPr>
      </w:pPr>
    </w:p>
    <w:tbl>
      <w:tblPr>
        <w:tblStyle w:val="PlainTable1"/>
        <w:tblW w:w="9882" w:type="dxa"/>
        <w:tblLook w:val="04A0" w:firstRow="1" w:lastRow="0" w:firstColumn="1" w:lastColumn="0" w:noHBand="0" w:noVBand="1"/>
      </w:tblPr>
      <w:tblGrid>
        <w:gridCol w:w="1525"/>
        <w:gridCol w:w="1350"/>
        <w:gridCol w:w="1375"/>
        <w:gridCol w:w="1145"/>
        <w:gridCol w:w="1260"/>
        <w:gridCol w:w="900"/>
        <w:gridCol w:w="2327"/>
      </w:tblGrid>
      <w:tr w:rsidR="00E30A2F" w:rsidRPr="00AC6769" w14:paraId="3AC24B88" w14:textId="77777777" w:rsidTr="00E30A2F">
        <w:trPr>
          <w:cnfStyle w:val="100000000000" w:firstRow="1" w:lastRow="0" w:firstColumn="0" w:lastColumn="0" w:oddVBand="0" w:evenVBand="0" w:oddHBand="0"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525" w:type="dxa"/>
            <w:tcBorders>
              <w:bottom w:val="single" w:sz="4" w:space="0" w:color="auto"/>
            </w:tcBorders>
            <w:shd w:val="clear" w:color="auto" w:fill="E7E6E6" w:themeFill="background2"/>
            <w:vAlign w:val="center"/>
          </w:tcPr>
          <w:p w14:paraId="5479F173" w14:textId="77777777" w:rsidR="00E30A2F" w:rsidRPr="00AC6769" w:rsidRDefault="00E30A2F" w:rsidP="003263A6">
            <w:pPr>
              <w:rPr>
                <w:rFonts w:cstheme="minorHAnsi"/>
              </w:rPr>
            </w:pPr>
            <w:r w:rsidRPr="00AC6769">
              <w:rPr>
                <w:rFonts w:cstheme="minorHAnsi"/>
              </w:rPr>
              <w:t>Readmit Term</w:t>
            </w:r>
          </w:p>
        </w:tc>
        <w:tc>
          <w:tcPr>
            <w:tcW w:w="1350" w:type="dxa"/>
            <w:tcBorders>
              <w:bottom w:val="single" w:sz="4" w:space="0" w:color="auto"/>
            </w:tcBorders>
            <w:shd w:val="clear" w:color="auto" w:fill="E7E6E6" w:themeFill="background2"/>
            <w:vAlign w:val="center"/>
          </w:tcPr>
          <w:p w14:paraId="6530A383" w14:textId="77777777" w:rsidR="00E30A2F" w:rsidRPr="00AC6769" w:rsidRDefault="00E30A2F" w:rsidP="003263A6">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No. of Auto Readmits</w:t>
            </w:r>
          </w:p>
        </w:tc>
        <w:tc>
          <w:tcPr>
            <w:tcW w:w="1375" w:type="dxa"/>
            <w:tcBorders>
              <w:bottom w:val="single" w:sz="4" w:space="0" w:color="auto"/>
            </w:tcBorders>
            <w:shd w:val="clear" w:color="auto" w:fill="E7E6E6" w:themeFill="background2"/>
            <w:vAlign w:val="center"/>
          </w:tcPr>
          <w:p w14:paraId="15FDD785" w14:textId="77777777" w:rsidR="00E30A2F" w:rsidRPr="00AC6769" w:rsidRDefault="00E30A2F" w:rsidP="003263A6">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No. of CARR Applicants</w:t>
            </w:r>
          </w:p>
        </w:tc>
        <w:tc>
          <w:tcPr>
            <w:tcW w:w="1145" w:type="dxa"/>
            <w:tcBorders>
              <w:bottom w:val="single" w:sz="4" w:space="0" w:color="auto"/>
            </w:tcBorders>
            <w:shd w:val="clear" w:color="auto" w:fill="E7E6E6" w:themeFill="background2"/>
            <w:vAlign w:val="center"/>
          </w:tcPr>
          <w:p w14:paraId="4641D79E" w14:textId="77777777" w:rsidR="00E30A2F" w:rsidRPr="00AC6769" w:rsidRDefault="00E30A2F" w:rsidP="003263A6">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Approved</w:t>
            </w:r>
          </w:p>
        </w:tc>
        <w:tc>
          <w:tcPr>
            <w:tcW w:w="1260" w:type="dxa"/>
            <w:tcBorders>
              <w:bottom w:val="single" w:sz="4" w:space="0" w:color="auto"/>
            </w:tcBorders>
            <w:shd w:val="clear" w:color="auto" w:fill="E7E6E6" w:themeFill="background2"/>
            <w:vAlign w:val="center"/>
          </w:tcPr>
          <w:p w14:paraId="66F99B1E" w14:textId="77777777" w:rsidR="00E30A2F" w:rsidRPr="00AC6769" w:rsidRDefault="00E30A2F" w:rsidP="005D048D">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Approved Percentage</w:t>
            </w:r>
          </w:p>
        </w:tc>
        <w:tc>
          <w:tcPr>
            <w:tcW w:w="900" w:type="dxa"/>
            <w:tcBorders>
              <w:bottom w:val="single" w:sz="4" w:space="0" w:color="auto"/>
            </w:tcBorders>
            <w:shd w:val="clear" w:color="auto" w:fill="E7E6E6" w:themeFill="background2"/>
            <w:vAlign w:val="center"/>
          </w:tcPr>
          <w:p w14:paraId="10C0BC1F" w14:textId="77777777" w:rsidR="00E30A2F" w:rsidRPr="00AC6769" w:rsidRDefault="00E30A2F" w:rsidP="003263A6">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Denied</w:t>
            </w:r>
          </w:p>
        </w:tc>
        <w:tc>
          <w:tcPr>
            <w:tcW w:w="2327" w:type="dxa"/>
            <w:tcBorders>
              <w:bottom w:val="single" w:sz="4" w:space="0" w:color="auto"/>
            </w:tcBorders>
            <w:shd w:val="clear" w:color="auto" w:fill="E7E6E6" w:themeFill="background2"/>
            <w:vAlign w:val="center"/>
          </w:tcPr>
          <w:p w14:paraId="4CFDAC28" w14:textId="77777777" w:rsidR="00E30A2F" w:rsidRPr="00AC6769" w:rsidRDefault="00E30A2F" w:rsidP="003263A6">
            <w:pPr>
              <w:cnfStyle w:val="100000000000" w:firstRow="1" w:lastRow="0" w:firstColumn="0" w:lastColumn="0" w:oddVBand="0" w:evenVBand="0" w:oddHBand="0" w:evenHBand="0" w:firstRowFirstColumn="0" w:firstRowLastColumn="0" w:lastRowFirstColumn="0" w:lastRowLastColumn="0"/>
              <w:rPr>
                <w:rFonts w:cstheme="minorHAnsi"/>
              </w:rPr>
            </w:pPr>
            <w:r w:rsidRPr="00AC6769">
              <w:rPr>
                <w:rFonts w:cstheme="minorHAnsi"/>
              </w:rPr>
              <w:t>Readmitted after Final Suspension</w:t>
            </w:r>
          </w:p>
        </w:tc>
      </w:tr>
      <w:tr w:rsidR="00E30A2F" w:rsidRPr="00AC6769" w14:paraId="74A71006" w14:textId="77777777" w:rsidTr="00E30A2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525" w:type="dxa"/>
            <w:tcBorders>
              <w:top w:val="single" w:sz="4" w:space="0" w:color="auto"/>
            </w:tcBorders>
            <w:vAlign w:val="center"/>
          </w:tcPr>
          <w:p w14:paraId="4AD86172" w14:textId="77777777" w:rsidR="00E30A2F" w:rsidRPr="00AC6769" w:rsidRDefault="00E30A2F" w:rsidP="00E30A2F">
            <w:pPr>
              <w:rPr>
                <w:rFonts w:cstheme="minorHAnsi"/>
              </w:rPr>
            </w:pPr>
            <w:r w:rsidRPr="00AC6769">
              <w:rPr>
                <w:rFonts w:cstheme="minorHAnsi"/>
              </w:rPr>
              <w:t>Summer 2021</w:t>
            </w:r>
          </w:p>
        </w:tc>
        <w:tc>
          <w:tcPr>
            <w:tcW w:w="1350" w:type="dxa"/>
            <w:tcBorders>
              <w:top w:val="single" w:sz="4" w:space="0" w:color="auto"/>
            </w:tcBorders>
            <w:vAlign w:val="center"/>
          </w:tcPr>
          <w:p w14:paraId="6A1F1F5D"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3</w:t>
            </w:r>
          </w:p>
        </w:tc>
        <w:tc>
          <w:tcPr>
            <w:tcW w:w="1375" w:type="dxa"/>
            <w:tcBorders>
              <w:top w:val="single" w:sz="4" w:space="0" w:color="auto"/>
            </w:tcBorders>
            <w:vAlign w:val="center"/>
          </w:tcPr>
          <w:p w14:paraId="47032187"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0</w:t>
            </w:r>
          </w:p>
        </w:tc>
        <w:tc>
          <w:tcPr>
            <w:tcW w:w="1145" w:type="dxa"/>
            <w:tcBorders>
              <w:top w:val="single" w:sz="4" w:space="0" w:color="auto"/>
            </w:tcBorders>
            <w:vAlign w:val="center"/>
          </w:tcPr>
          <w:p w14:paraId="5E2A23B7"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0</w:t>
            </w:r>
          </w:p>
        </w:tc>
        <w:tc>
          <w:tcPr>
            <w:tcW w:w="1260" w:type="dxa"/>
            <w:tcBorders>
              <w:top w:val="single" w:sz="4" w:space="0" w:color="auto"/>
            </w:tcBorders>
            <w:vAlign w:val="center"/>
          </w:tcPr>
          <w:p w14:paraId="11A8FDFF"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0</w:t>
            </w:r>
          </w:p>
        </w:tc>
        <w:tc>
          <w:tcPr>
            <w:tcW w:w="900" w:type="dxa"/>
            <w:tcBorders>
              <w:top w:val="single" w:sz="4" w:space="0" w:color="auto"/>
            </w:tcBorders>
            <w:vAlign w:val="center"/>
          </w:tcPr>
          <w:p w14:paraId="1B24E34D"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0</w:t>
            </w:r>
          </w:p>
        </w:tc>
        <w:tc>
          <w:tcPr>
            <w:tcW w:w="2327" w:type="dxa"/>
            <w:tcBorders>
              <w:top w:val="single" w:sz="4" w:space="0" w:color="auto"/>
            </w:tcBorders>
            <w:vAlign w:val="center"/>
          </w:tcPr>
          <w:p w14:paraId="7130B545"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p>
        </w:tc>
      </w:tr>
      <w:tr w:rsidR="00E30A2F" w:rsidRPr="00AC6769" w14:paraId="60D1EF22" w14:textId="77777777" w:rsidTr="00E30A2F">
        <w:trPr>
          <w:trHeight w:val="327"/>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481EAF0A" w14:textId="77777777" w:rsidR="00E30A2F" w:rsidRPr="00AC6769" w:rsidRDefault="00E30A2F" w:rsidP="00E30A2F">
            <w:pPr>
              <w:rPr>
                <w:rFonts w:cstheme="minorHAnsi"/>
              </w:rPr>
            </w:pPr>
            <w:r w:rsidRPr="00AC6769">
              <w:rPr>
                <w:rFonts w:cstheme="minorHAnsi"/>
              </w:rPr>
              <w:t>Fall 2021</w:t>
            </w:r>
          </w:p>
        </w:tc>
        <w:tc>
          <w:tcPr>
            <w:tcW w:w="1350" w:type="dxa"/>
            <w:vAlign w:val="center"/>
          </w:tcPr>
          <w:p w14:paraId="5C2DEC05"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20</w:t>
            </w:r>
          </w:p>
        </w:tc>
        <w:tc>
          <w:tcPr>
            <w:tcW w:w="1375" w:type="dxa"/>
            <w:vAlign w:val="center"/>
          </w:tcPr>
          <w:p w14:paraId="68C47067"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24</w:t>
            </w:r>
          </w:p>
        </w:tc>
        <w:tc>
          <w:tcPr>
            <w:tcW w:w="1145" w:type="dxa"/>
            <w:vAlign w:val="center"/>
          </w:tcPr>
          <w:p w14:paraId="53191188"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18</w:t>
            </w:r>
          </w:p>
        </w:tc>
        <w:tc>
          <w:tcPr>
            <w:tcW w:w="1260" w:type="dxa"/>
            <w:vAlign w:val="center"/>
          </w:tcPr>
          <w:p w14:paraId="03C280C0"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75%</w:t>
            </w:r>
          </w:p>
        </w:tc>
        <w:tc>
          <w:tcPr>
            <w:tcW w:w="900" w:type="dxa"/>
            <w:vAlign w:val="center"/>
          </w:tcPr>
          <w:p w14:paraId="57D20045"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6</w:t>
            </w:r>
          </w:p>
        </w:tc>
        <w:tc>
          <w:tcPr>
            <w:tcW w:w="2327" w:type="dxa"/>
            <w:vAlign w:val="center"/>
          </w:tcPr>
          <w:p w14:paraId="2E612B96" w14:textId="77777777" w:rsidR="00E30A2F" w:rsidRPr="00AC6769" w:rsidRDefault="00E30A2F" w:rsidP="00E30A2F">
            <w:pPr>
              <w:cnfStyle w:val="000000000000" w:firstRow="0" w:lastRow="0" w:firstColumn="0" w:lastColumn="0" w:oddVBand="0" w:evenVBand="0" w:oddHBand="0" w:evenHBand="0" w:firstRowFirstColumn="0" w:firstRowLastColumn="0" w:lastRowFirstColumn="0" w:lastRowLastColumn="0"/>
              <w:rPr>
                <w:rFonts w:cstheme="minorHAnsi"/>
              </w:rPr>
            </w:pPr>
            <w:r w:rsidRPr="00AC6769">
              <w:rPr>
                <w:rFonts w:cstheme="minorHAnsi"/>
              </w:rPr>
              <w:t>0</w:t>
            </w:r>
          </w:p>
        </w:tc>
      </w:tr>
      <w:tr w:rsidR="00E30A2F" w:rsidRPr="00AC6769" w14:paraId="55A65A7A" w14:textId="77777777" w:rsidTr="00E30A2F">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1525" w:type="dxa"/>
            <w:vAlign w:val="center"/>
          </w:tcPr>
          <w:p w14:paraId="70CFDCCA" w14:textId="77777777" w:rsidR="00E30A2F" w:rsidRPr="00AC6769" w:rsidRDefault="00E30A2F" w:rsidP="00E30A2F">
            <w:pPr>
              <w:rPr>
                <w:rFonts w:cstheme="minorHAnsi"/>
              </w:rPr>
            </w:pPr>
            <w:r w:rsidRPr="00AC6769">
              <w:rPr>
                <w:rFonts w:cstheme="minorHAnsi"/>
              </w:rPr>
              <w:t>Spring 2022</w:t>
            </w:r>
          </w:p>
        </w:tc>
        <w:tc>
          <w:tcPr>
            <w:tcW w:w="1350" w:type="dxa"/>
            <w:vAlign w:val="center"/>
          </w:tcPr>
          <w:p w14:paraId="715631BB"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18</w:t>
            </w:r>
          </w:p>
        </w:tc>
        <w:tc>
          <w:tcPr>
            <w:tcW w:w="1375" w:type="dxa"/>
            <w:vAlign w:val="center"/>
          </w:tcPr>
          <w:p w14:paraId="12BED8FC"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32</w:t>
            </w:r>
          </w:p>
        </w:tc>
        <w:tc>
          <w:tcPr>
            <w:tcW w:w="1145" w:type="dxa"/>
            <w:vAlign w:val="center"/>
          </w:tcPr>
          <w:p w14:paraId="3E96ED60"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24</w:t>
            </w:r>
          </w:p>
        </w:tc>
        <w:tc>
          <w:tcPr>
            <w:tcW w:w="1260" w:type="dxa"/>
            <w:vAlign w:val="center"/>
          </w:tcPr>
          <w:p w14:paraId="3F1D4DB2"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75%</w:t>
            </w:r>
          </w:p>
        </w:tc>
        <w:tc>
          <w:tcPr>
            <w:tcW w:w="900" w:type="dxa"/>
            <w:vAlign w:val="center"/>
          </w:tcPr>
          <w:p w14:paraId="623A8CFD"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8</w:t>
            </w:r>
          </w:p>
        </w:tc>
        <w:tc>
          <w:tcPr>
            <w:tcW w:w="2327" w:type="dxa"/>
            <w:vAlign w:val="center"/>
          </w:tcPr>
          <w:p w14:paraId="7B3FB241" w14:textId="77777777" w:rsidR="00E30A2F" w:rsidRPr="00AC6769" w:rsidRDefault="00E30A2F" w:rsidP="00E30A2F">
            <w:pPr>
              <w:cnfStyle w:val="000000100000" w:firstRow="0" w:lastRow="0" w:firstColumn="0" w:lastColumn="0" w:oddVBand="0" w:evenVBand="0" w:oddHBand="1" w:evenHBand="0" w:firstRowFirstColumn="0" w:firstRowLastColumn="0" w:lastRowFirstColumn="0" w:lastRowLastColumn="0"/>
              <w:rPr>
                <w:rFonts w:cstheme="minorHAnsi"/>
              </w:rPr>
            </w:pPr>
            <w:r w:rsidRPr="00AC6769">
              <w:rPr>
                <w:rFonts w:cstheme="minorHAnsi"/>
              </w:rPr>
              <w:t>1</w:t>
            </w:r>
          </w:p>
        </w:tc>
      </w:tr>
    </w:tbl>
    <w:p w14:paraId="69E9E5B1" w14:textId="77777777" w:rsidR="00AC6769" w:rsidRPr="00AC6769" w:rsidRDefault="00AC6769" w:rsidP="00612486">
      <w:pPr>
        <w:spacing w:after="0"/>
        <w:rPr>
          <w:rFonts w:cstheme="minorHAnsi"/>
          <w:b/>
          <w:u w:val="single"/>
        </w:rPr>
      </w:pPr>
    </w:p>
    <w:p w14:paraId="4D1D9C4E" w14:textId="77777777" w:rsidR="00612486" w:rsidRPr="00AC6769" w:rsidRDefault="00612486" w:rsidP="00612486">
      <w:pPr>
        <w:spacing w:after="0"/>
        <w:rPr>
          <w:rFonts w:cstheme="minorHAnsi"/>
          <w:b/>
          <w:u w:val="single"/>
        </w:rPr>
      </w:pPr>
      <w:r w:rsidRPr="00AC6769">
        <w:rPr>
          <w:rFonts w:cstheme="minorHAnsi"/>
          <w:b/>
          <w:u w:val="single"/>
        </w:rPr>
        <w:t xml:space="preserve">Part </w:t>
      </w:r>
      <w:r w:rsidR="009E4EFA" w:rsidRPr="00AC6769">
        <w:rPr>
          <w:rFonts w:cstheme="minorHAnsi"/>
          <w:b/>
          <w:u w:val="single"/>
        </w:rPr>
        <w:t>3</w:t>
      </w:r>
      <w:r w:rsidRPr="00AC6769">
        <w:rPr>
          <w:rFonts w:cstheme="minorHAnsi"/>
          <w:b/>
          <w:u w:val="single"/>
        </w:rPr>
        <w:t>: Case Content</w:t>
      </w:r>
    </w:p>
    <w:p w14:paraId="0402307C" w14:textId="77777777" w:rsidR="00612486" w:rsidRPr="00AC6769" w:rsidRDefault="00612486" w:rsidP="00605DEF">
      <w:pPr>
        <w:spacing w:after="0"/>
        <w:rPr>
          <w:rFonts w:cstheme="minorHAnsi"/>
        </w:rPr>
      </w:pPr>
      <w:r w:rsidRPr="00AC6769">
        <w:rPr>
          <w:rFonts w:cstheme="minorHAnsi"/>
        </w:rPr>
        <w:t>In their meetings with CARR, applicants identify a myriad of reasons for their poor academic performance leading to academic suspension. Students reviewed could be in just one or multiple categories depending on the information presented</w:t>
      </w:r>
      <w:r w:rsidR="007501C5" w:rsidRPr="00AC6769">
        <w:rPr>
          <w:rFonts w:cstheme="minorHAnsi"/>
        </w:rPr>
        <w:t xml:space="preserve">. </w:t>
      </w:r>
      <w:r w:rsidR="00605DEF" w:rsidRPr="00AC6769">
        <w:rPr>
          <w:rFonts w:cstheme="minorHAnsi"/>
        </w:rPr>
        <w:t>In this past year, the following themes were identified by students appearing before CARR:</w:t>
      </w:r>
    </w:p>
    <w:p w14:paraId="630AB7D9" w14:textId="77777777" w:rsidR="00605DEF" w:rsidRPr="00AC6769" w:rsidRDefault="00605DEF" w:rsidP="00605DEF">
      <w:pPr>
        <w:pStyle w:val="ListParagraph"/>
        <w:numPr>
          <w:ilvl w:val="0"/>
          <w:numId w:val="1"/>
        </w:numPr>
        <w:spacing w:after="0"/>
        <w:rPr>
          <w:rFonts w:cstheme="minorHAnsi"/>
        </w:rPr>
      </w:pPr>
      <w:r w:rsidRPr="00AC6769">
        <w:rPr>
          <w:rFonts w:cstheme="minorHAnsi"/>
        </w:rPr>
        <w:t>Mental Health</w:t>
      </w:r>
    </w:p>
    <w:p w14:paraId="2D3BDF84" w14:textId="77777777" w:rsidR="00605DEF" w:rsidRPr="00AC6769" w:rsidRDefault="00605DEF" w:rsidP="00605DEF">
      <w:pPr>
        <w:pStyle w:val="ListParagraph"/>
        <w:numPr>
          <w:ilvl w:val="0"/>
          <w:numId w:val="1"/>
        </w:numPr>
        <w:spacing w:after="0"/>
        <w:rPr>
          <w:rFonts w:cstheme="minorHAnsi"/>
        </w:rPr>
      </w:pPr>
      <w:r w:rsidRPr="00AC6769">
        <w:rPr>
          <w:rFonts w:cstheme="minorHAnsi"/>
        </w:rPr>
        <w:t>College/University Transitions</w:t>
      </w:r>
    </w:p>
    <w:p w14:paraId="6CFAA311" w14:textId="77777777" w:rsidR="00605DEF" w:rsidRPr="00AC6769" w:rsidRDefault="00605DEF" w:rsidP="00605DEF">
      <w:pPr>
        <w:pStyle w:val="ListParagraph"/>
        <w:numPr>
          <w:ilvl w:val="0"/>
          <w:numId w:val="1"/>
        </w:numPr>
        <w:spacing w:after="0"/>
        <w:rPr>
          <w:rFonts w:cstheme="minorHAnsi"/>
        </w:rPr>
      </w:pPr>
      <w:r w:rsidRPr="00AC6769">
        <w:rPr>
          <w:rFonts w:cstheme="minorHAnsi"/>
        </w:rPr>
        <w:t>Circumstances that may warrant an accommodation through Student Accessibility Services</w:t>
      </w:r>
    </w:p>
    <w:p w14:paraId="664EB464" w14:textId="77777777" w:rsidR="00605DEF" w:rsidRPr="00AC6769" w:rsidRDefault="00605DEF" w:rsidP="00605DEF">
      <w:pPr>
        <w:pStyle w:val="ListParagraph"/>
        <w:numPr>
          <w:ilvl w:val="0"/>
          <w:numId w:val="1"/>
        </w:numPr>
        <w:spacing w:after="0"/>
        <w:rPr>
          <w:rFonts w:cstheme="minorHAnsi"/>
        </w:rPr>
      </w:pPr>
      <w:r w:rsidRPr="00AC6769">
        <w:rPr>
          <w:rFonts w:cstheme="minorHAnsi"/>
        </w:rPr>
        <w:t>Extenuating circumstances that may warrant an Academic Student Request</w:t>
      </w:r>
    </w:p>
    <w:p w14:paraId="746B4BD9" w14:textId="77777777" w:rsidR="00612486" w:rsidRPr="00AC6769" w:rsidRDefault="00612486" w:rsidP="00580856">
      <w:pPr>
        <w:spacing w:after="0"/>
        <w:rPr>
          <w:rFonts w:cstheme="minorHAnsi"/>
          <w:b/>
          <w:u w:val="single"/>
        </w:rPr>
      </w:pPr>
    </w:p>
    <w:p w14:paraId="5349B6C5" w14:textId="77777777" w:rsidR="00612486" w:rsidRPr="00AC6769" w:rsidRDefault="00612486" w:rsidP="00580856">
      <w:pPr>
        <w:spacing w:after="0"/>
        <w:rPr>
          <w:rFonts w:cstheme="minorHAnsi"/>
          <w:b/>
          <w:u w:val="single"/>
        </w:rPr>
      </w:pPr>
      <w:r w:rsidRPr="00AC6769">
        <w:rPr>
          <w:rFonts w:cstheme="minorHAnsi"/>
          <w:b/>
          <w:u w:val="single"/>
        </w:rPr>
        <w:t xml:space="preserve">Part </w:t>
      </w:r>
      <w:r w:rsidR="009E4EFA" w:rsidRPr="00AC6769">
        <w:rPr>
          <w:rFonts w:cstheme="minorHAnsi"/>
          <w:b/>
          <w:u w:val="single"/>
        </w:rPr>
        <w:t>4</w:t>
      </w:r>
      <w:r w:rsidRPr="00AC6769">
        <w:rPr>
          <w:rFonts w:cstheme="minorHAnsi"/>
          <w:b/>
          <w:u w:val="single"/>
        </w:rPr>
        <w:t>: Proposed Policy Changes</w:t>
      </w:r>
    </w:p>
    <w:p w14:paraId="4DF595FB" w14:textId="77777777" w:rsidR="00612486" w:rsidRPr="00AC6769" w:rsidRDefault="00612486" w:rsidP="00580856">
      <w:pPr>
        <w:spacing w:after="0"/>
        <w:rPr>
          <w:rFonts w:cstheme="minorHAnsi"/>
        </w:rPr>
      </w:pPr>
      <w:r w:rsidRPr="00AC6769">
        <w:rPr>
          <w:rFonts w:cstheme="minorHAnsi"/>
        </w:rPr>
        <w:t>At this time, the committee does not have recommendations of edits to the undergraduate academic standing policy as it currently stands.</w:t>
      </w:r>
      <w:bookmarkEnd w:id="0"/>
    </w:p>
    <w:sectPr w:rsidR="00612486" w:rsidRPr="00AC67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F1EDE"/>
    <w:multiLevelType w:val="hybridMultilevel"/>
    <w:tmpl w:val="A72CE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856"/>
    <w:rsid w:val="001870A5"/>
    <w:rsid w:val="003263A6"/>
    <w:rsid w:val="00393683"/>
    <w:rsid w:val="00580856"/>
    <w:rsid w:val="005D048D"/>
    <w:rsid w:val="00605DEF"/>
    <w:rsid w:val="00612486"/>
    <w:rsid w:val="007501C5"/>
    <w:rsid w:val="00935760"/>
    <w:rsid w:val="009E4EFA"/>
    <w:rsid w:val="00A12502"/>
    <w:rsid w:val="00AC6769"/>
    <w:rsid w:val="00DC3E7D"/>
    <w:rsid w:val="00E30A2F"/>
    <w:rsid w:val="00E4343A"/>
    <w:rsid w:val="00F5028B"/>
    <w:rsid w:val="00F61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977AB"/>
  <w15:chartTrackingRefBased/>
  <w15:docId w15:val="{2F4CE907-1059-4E12-8A5B-9F309F8A1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7501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7501C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05DEF"/>
    <w:pPr>
      <w:ind w:left="720"/>
      <w:contextualSpacing/>
    </w:pPr>
  </w:style>
  <w:style w:type="table" w:styleId="PlainTable1">
    <w:name w:val="Plain Table 1"/>
    <w:basedOn w:val="TableNormal"/>
    <w:uiPriority w:val="41"/>
    <w:rsid w:val="003263A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 Lehman</dc:creator>
  <cp:keywords/>
  <dc:description/>
  <cp:lastModifiedBy>Francis D Degnin</cp:lastModifiedBy>
  <cp:revision>2</cp:revision>
  <dcterms:created xsi:type="dcterms:W3CDTF">2022-02-08T20:56:00Z</dcterms:created>
  <dcterms:modified xsi:type="dcterms:W3CDTF">2022-02-08T20:56:00Z</dcterms:modified>
</cp:coreProperties>
</file>