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12B" w:rsidRDefault="0070617E">
      <w:r>
        <w:t>Senate budget Committee Report for 2015</w:t>
      </w:r>
    </w:p>
    <w:p w:rsidR="0070617E" w:rsidRDefault="0070617E">
      <w:r>
        <w:t>Prepared by Tim Kidd (chair), Committee: Gerald Smith, Frank Thomas, Hans Isaacson</w:t>
      </w:r>
    </w:p>
    <w:p w:rsidR="0070617E" w:rsidRDefault="00F05B2E">
      <w:r>
        <w:t>Purpose: The Senate Budget Committee is tasked with reporting on the state of the UNI budget each year with emphases on spending from the general education fund, spending on instruction related activities, and transfers of money across divisions.</w:t>
      </w:r>
    </w:p>
    <w:p w:rsidR="0070617E" w:rsidRDefault="0070617E">
      <w:r>
        <w:t>Summary</w:t>
      </w:r>
      <w:r w:rsidR="00692B88">
        <w:t xml:space="preserve"> of Overall Budget</w:t>
      </w:r>
      <w:r>
        <w:t>:</w:t>
      </w:r>
    </w:p>
    <w:p w:rsidR="008929DB" w:rsidRDefault="0070617E" w:rsidP="008929DB">
      <w:r>
        <w:t>The legislature approved a budget for the regents very late in the year</w:t>
      </w:r>
      <w:r w:rsidR="008200AB">
        <w:t>, after the spring term had ended</w:t>
      </w:r>
      <w:r>
        <w:t>. State appropriations increased to $94</w:t>
      </w:r>
      <w:r w:rsidR="008200AB">
        <w:t>.3</w:t>
      </w:r>
      <w:r>
        <w:t>M for 2015-2016 from $</w:t>
      </w:r>
      <w:proofErr w:type="gramStart"/>
      <w:r>
        <w:t>89</w:t>
      </w:r>
      <w:r w:rsidR="008200AB">
        <w:t>.2</w:t>
      </w:r>
      <w:r>
        <w:t>M,</w:t>
      </w:r>
      <w:proofErr w:type="gramEnd"/>
      <w:r>
        <w:t xml:space="preserve"> however this was accompanied by a loss in one time money from the state of $4M resulting in a net increase of only about $1</w:t>
      </w:r>
      <w:r w:rsidR="008200AB">
        <w:t>.1</w:t>
      </w:r>
      <w:r>
        <w:t xml:space="preserve">M. The legislature had approved an additional $1.1M in one time funding for UNI, which was vetoed by the governor. </w:t>
      </w:r>
      <w:r w:rsidR="008200AB">
        <w:t xml:space="preserve">In-state tuition was held constant for at least the fall term of 2015, and although freshman enrollment is up by approximately 5%, overall tuition revenue is down about $2.4M. Overall revenues </w:t>
      </w:r>
      <w:r w:rsidR="00E668C6">
        <w:t xml:space="preserve">to the general education fund </w:t>
      </w:r>
      <w:r w:rsidR="008200AB">
        <w:t>are down by about $1.4M</w:t>
      </w:r>
      <w:r w:rsidR="00E668C6">
        <w:t>. Personnel expenses (salaries and benefits) increased by $1.6M</w:t>
      </w:r>
      <w:r w:rsidR="008929DB">
        <w:t>, although the expenses related to instruction decreased by about $0.3M</w:t>
      </w:r>
      <w:r w:rsidR="00E668C6">
        <w:t xml:space="preserve">. Along with other increases in costs, this led to a total of $3.7M which needed to be accounted for in some form of cuts. </w:t>
      </w:r>
      <w:r w:rsidR="008200AB">
        <w:t xml:space="preserve">It should be noted that most the difference </w:t>
      </w:r>
      <w:r w:rsidR="008929DB">
        <w:t xml:space="preserve">between expenses and </w:t>
      </w:r>
      <w:r w:rsidR="008200AB">
        <w:t xml:space="preserve">revenue </w:t>
      </w:r>
      <w:r w:rsidR="008929DB">
        <w:t xml:space="preserve">is being made up in </w:t>
      </w:r>
      <w:r w:rsidR="008200AB">
        <w:t>“one-time” measures</w:t>
      </w:r>
      <w:r w:rsidR="008929DB">
        <w:t xml:space="preserve"> such as roll-over money, which has become effectively standard practice in the past several years. </w:t>
      </w:r>
      <w:r w:rsidR="008F1FD4">
        <w:t>Additionally, each division (i.e. academic affairs, athletics, etc</w:t>
      </w:r>
      <w:proofErr w:type="gramStart"/>
      <w:r w:rsidR="008F1FD4">
        <w:t>..)</w:t>
      </w:r>
      <w:proofErr w:type="gramEnd"/>
      <w:r w:rsidR="008F1FD4">
        <w:t xml:space="preserve"> has had to reduce its overall budget in a proportional manner. </w:t>
      </w:r>
      <w:r w:rsidR="008929DB">
        <w:t>It should be noted that enrollment numbers appear to be somewhat higher than expected and there is potential for increased tuition for Spring 2016 which will lead to an improvement in the overall budget numbers of approximately $1-1.5M. Overall, the budget will be tight again this year, but the real worry is that continued use of one-time measures to meet budgetary needs is affecting how UNI can make strategic budgetary decisions.</w:t>
      </w:r>
    </w:p>
    <w:p w:rsidR="008929DB" w:rsidRDefault="008929DB">
      <w:r>
        <w:br w:type="page"/>
      </w:r>
    </w:p>
    <w:p w:rsidR="00692B88" w:rsidRDefault="00692B88" w:rsidP="00692B88">
      <w:pPr>
        <w:pStyle w:val="ListParagraph"/>
        <w:numPr>
          <w:ilvl w:val="0"/>
          <w:numId w:val="2"/>
        </w:numPr>
      </w:pPr>
      <w:r>
        <w:lastRenderedPageBreak/>
        <w:t>Overall Budget (General Education Fund)</w:t>
      </w:r>
      <w:r w:rsidR="00D8226E">
        <w:t xml:space="preserve"> [#’s in $M, rounded to $0.1M]</w:t>
      </w:r>
    </w:p>
    <w:tbl>
      <w:tblPr>
        <w:tblStyle w:val="TableGrid"/>
        <w:tblW w:w="0" w:type="auto"/>
        <w:tblInd w:w="1080" w:type="dxa"/>
        <w:tblLook w:val="04A0" w:firstRow="1" w:lastRow="0" w:firstColumn="1" w:lastColumn="0" w:noHBand="0" w:noVBand="1"/>
      </w:tblPr>
      <w:tblGrid>
        <w:gridCol w:w="1728"/>
        <w:gridCol w:w="1233"/>
        <w:gridCol w:w="1387"/>
        <w:gridCol w:w="1380"/>
        <w:gridCol w:w="1850"/>
        <w:gridCol w:w="1980"/>
      </w:tblGrid>
      <w:tr w:rsidR="00692B88" w:rsidTr="007B72E7">
        <w:tc>
          <w:tcPr>
            <w:tcW w:w="1728" w:type="dxa"/>
          </w:tcPr>
          <w:p w:rsidR="00692B88" w:rsidRPr="00692B88" w:rsidRDefault="00692B88" w:rsidP="00692B88">
            <w:pPr>
              <w:pStyle w:val="ListParagraph"/>
              <w:ind w:left="0"/>
              <w:rPr>
                <w:sz w:val="20"/>
                <w:szCs w:val="20"/>
              </w:rPr>
            </w:pPr>
          </w:p>
        </w:tc>
        <w:tc>
          <w:tcPr>
            <w:tcW w:w="1233" w:type="dxa"/>
          </w:tcPr>
          <w:p w:rsidR="00692B88" w:rsidRPr="00692B88" w:rsidRDefault="00692B88" w:rsidP="00692B88">
            <w:pPr>
              <w:pStyle w:val="ListParagraph"/>
              <w:ind w:left="0"/>
              <w:rPr>
                <w:sz w:val="20"/>
                <w:szCs w:val="20"/>
              </w:rPr>
            </w:pPr>
            <w:r w:rsidRPr="00692B88">
              <w:rPr>
                <w:sz w:val="20"/>
                <w:szCs w:val="20"/>
              </w:rPr>
              <w:t>FY15 Budget</w:t>
            </w:r>
          </w:p>
        </w:tc>
        <w:tc>
          <w:tcPr>
            <w:tcW w:w="1387" w:type="dxa"/>
          </w:tcPr>
          <w:p w:rsidR="00692B88" w:rsidRPr="00692B88" w:rsidRDefault="00692B88" w:rsidP="00692B88">
            <w:pPr>
              <w:pStyle w:val="ListParagraph"/>
              <w:ind w:left="0"/>
              <w:rPr>
                <w:sz w:val="20"/>
                <w:szCs w:val="20"/>
              </w:rPr>
            </w:pPr>
            <w:r w:rsidRPr="00692B88">
              <w:rPr>
                <w:sz w:val="20"/>
                <w:szCs w:val="20"/>
              </w:rPr>
              <w:t>Change 15-16</w:t>
            </w:r>
          </w:p>
        </w:tc>
        <w:tc>
          <w:tcPr>
            <w:tcW w:w="1380" w:type="dxa"/>
          </w:tcPr>
          <w:p w:rsidR="00692B88" w:rsidRPr="00692B88" w:rsidRDefault="00692B88" w:rsidP="00692B88">
            <w:pPr>
              <w:pStyle w:val="ListParagraph"/>
              <w:ind w:left="0"/>
              <w:rPr>
                <w:sz w:val="20"/>
                <w:szCs w:val="20"/>
              </w:rPr>
            </w:pPr>
            <w:r w:rsidRPr="00692B88">
              <w:rPr>
                <w:sz w:val="20"/>
                <w:szCs w:val="20"/>
              </w:rPr>
              <w:t>FY16 Budget</w:t>
            </w:r>
          </w:p>
        </w:tc>
        <w:tc>
          <w:tcPr>
            <w:tcW w:w="1850" w:type="dxa"/>
          </w:tcPr>
          <w:p w:rsidR="00692B88" w:rsidRPr="00692B88" w:rsidRDefault="00692B88" w:rsidP="00692B88">
            <w:pPr>
              <w:pStyle w:val="ListParagraph"/>
              <w:ind w:left="0"/>
              <w:rPr>
                <w:sz w:val="20"/>
                <w:szCs w:val="20"/>
              </w:rPr>
            </w:pPr>
            <w:r w:rsidRPr="00692B88">
              <w:rPr>
                <w:sz w:val="20"/>
                <w:szCs w:val="20"/>
              </w:rPr>
              <w:t>Est. Change 16-17</w:t>
            </w:r>
          </w:p>
        </w:tc>
        <w:tc>
          <w:tcPr>
            <w:tcW w:w="1980" w:type="dxa"/>
          </w:tcPr>
          <w:p w:rsidR="00692B88" w:rsidRPr="00692B88" w:rsidRDefault="00692B88" w:rsidP="00692B88">
            <w:pPr>
              <w:pStyle w:val="ListParagraph"/>
              <w:ind w:left="0"/>
              <w:rPr>
                <w:sz w:val="20"/>
                <w:szCs w:val="20"/>
              </w:rPr>
            </w:pPr>
            <w:r w:rsidRPr="00692B88">
              <w:rPr>
                <w:sz w:val="20"/>
                <w:szCs w:val="20"/>
              </w:rPr>
              <w:t>Est FY 17 Budget</w:t>
            </w:r>
          </w:p>
        </w:tc>
      </w:tr>
      <w:tr w:rsidR="00D8226E" w:rsidTr="007B72E7">
        <w:tc>
          <w:tcPr>
            <w:tcW w:w="1728" w:type="dxa"/>
          </w:tcPr>
          <w:p w:rsidR="00D8226E" w:rsidRPr="00D8226E" w:rsidRDefault="00D8226E" w:rsidP="00692B88">
            <w:pPr>
              <w:pStyle w:val="ListParagraph"/>
              <w:ind w:left="0"/>
              <w:rPr>
                <w:b/>
                <w:sz w:val="20"/>
                <w:szCs w:val="20"/>
                <w:u w:val="single"/>
              </w:rPr>
            </w:pPr>
            <w:r w:rsidRPr="00D8226E">
              <w:rPr>
                <w:b/>
                <w:sz w:val="20"/>
                <w:szCs w:val="20"/>
                <w:u w:val="single"/>
              </w:rPr>
              <w:t>Revenues</w:t>
            </w:r>
          </w:p>
        </w:tc>
        <w:tc>
          <w:tcPr>
            <w:tcW w:w="1233" w:type="dxa"/>
          </w:tcPr>
          <w:p w:rsidR="00D8226E" w:rsidRDefault="00D8226E" w:rsidP="00692B88">
            <w:pPr>
              <w:pStyle w:val="ListParagraph"/>
              <w:ind w:left="0"/>
              <w:rPr>
                <w:sz w:val="20"/>
                <w:szCs w:val="20"/>
              </w:rPr>
            </w:pPr>
          </w:p>
        </w:tc>
        <w:tc>
          <w:tcPr>
            <w:tcW w:w="1387" w:type="dxa"/>
          </w:tcPr>
          <w:p w:rsidR="00D8226E" w:rsidRDefault="00D8226E" w:rsidP="00692B88">
            <w:pPr>
              <w:pStyle w:val="ListParagraph"/>
              <w:ind w:left="0"/>
              <w:rPr>
                <w:sz w:val="20"/>
                <w:szCs w:val="20"/>
              </w:rPr>
            </w:pPr>
          </w:p>
        </w:tc>
        <w:tc>
          <w:tcPr>
            <w:tcW w:w="1380" w:type="dxa"/>
          </w:tcPr>
          <w:p w:rsidR="00D8226E" w:rsidRPr="00692B88" w:rsidRDefault="00D8226E" w:rsidP="00692B88">
            <w:pPr>
              <w:pStyle w:val="ListParagraph"/>
              <w:ind w:left="0"/>
              <w:rPr>
                <w:sz w:val="20"/>
                <w:szCs w:val="20"/>
              </w:rPr>
            </w:pPr>
          </w:p>
        </w:tc>
        <w:tc>
          <w:tcPr>
            <w:tcW w:w="1850" w:type="dxa"/>
          </w:tcPr>
          <w:p w:rsidR="00D8226E" w:rsidRPr="00692B88" w:rsidRDefault="00D8226E" w:rsidP="00692B88">
            <w:pPr>
              <w:pStyle w:val="ListParagraph"/>
              <w:ind w:left="0"/>
              <w:rPr>
                <w:sz w:val="20"/>
                <w:szCs w:val="20"/>
              </w:rPr>
            </w:pPr>
          </w:p>
        </w:tc>
        <w:tc>
          <w:tcPr>
            <w:tcW w:w="1980" w:type="dxa"/>
          </w:tcPr>
          <w:p w:rsidR="00D8226E" w:rsidRPr="00692B88" w:rsidRDefault="00D8226E" w:rsidP="00692B88">
            <w:pPr>
              <w:pStyle w:val="ListParagraph"/>
              <w:ind w:left="0"/>
              <w:rPr>
                <w:sz w:val="20"/>
                <w:szCs w:val="20"/>
              </w:rPr>
            </w:pPr>
          </w:p>
        </w:tc>
      </w:tr>
      <w:tr w:rsidR="00692B88" w:rsidTr="007B72E7">
        <w:tc>
          <w:tcPr>
            <w:tcW w:w="1728" w:type="dxa"/>
          </w:tcPr>
          <w:p w:rsidR="00692B88" w:rsidRPr="00692B88" w:rsidRDefault="00692B88" w:rsidP="00692B88">
            <w:pPr>
              <w:pStyle w:val="ListParagraph"/>
              <w:ind w:left="0"/>
              <w:rPr>
                <w:sz w:val="20"/>
                <w:szCs w:val="20"/>
              </w:rPr>
            </w:pPr>
            <w:r>
              <w:rPr>
                <w:sz w:val="20"/>
                <w:szCs w:val="20"/>
              </w:rPr>
              <w:t>State base</w:t>
            </w:r>
          </w:p>
        </w:tc>
        <w:tc>
          <w:tcPr>
            <w:tcW w:w="1233" w:type="dxa"/>
          </w:tcPr>
          <w:p w:rsidR="00692B88" w:rsidRPr="00692B88" w:rsidRDefault="00D8226E" w:rsidP="00692B88">
            <w:pPr>
              <w:pStyle w:val="ListParagraph"/>
              <w:ind w:left="0"/>
              <w:rPr>
                <w:sz w:val="20"/>
                <w:szCs w:val="20"/>
              </w:rPr>
            </w:pPr>
            <w:r>
              <w:rPr>
                <w:sz w:val="20"/>
                <w:szCs w:val="20"/>
              </w:rPr>
              <w:t>89.2</w:t>
            </w:r>
          </w:p>
        </w:tc>
        <w:tc>
          <w:tcPr>
            <w:tcW w:w="1387" w:type="dxa"/>
          </w:tcPr>
          <w:p w:rsidR="00692B88" w:rsidRPr="00692B88" w:rsidRDefault="00D8226E" w:rsidP="00692B88">
            <w:pPr>
              <w:pStyle w:val="ListParagraph"/>
              <w:ind w:left="0"/>
              <w:rPr>
                <w:sz w:val="20"/>
                <w:szCs w:val="20"/>
              </w:rPr>
            </w:pPr>
            <w:r>
              <w:rPr>
                <w:sz w:val="20"/>
                <w:szCs w:val="20"/>
              </w:rPr>
              <w:t>5.1</w:t>
            </w:r>
          </w:p>
        </w:tc>
        <w:tc>
          <w:tcPr>
            <w:tcW w:w="1380" w:type="dxa"/>
          </w:tcPr>
          <w:p w:rsidR="00692B88" w:rsidRPr="00692B88" w:rsidRDefault="00D8226E" w:rsidP="00692B88">
            <w:pPr>
              <w:pStyle w:val="ListParagraph"/>
              <w:ind w:left="0"/>
              <w:rPr>
                <w:sz w:val="20"/>
                <w:szCs w:val="20"/>
              </w:rPr>
            </w:pPr>
            <w:r>
              <w:rPr>
                <w:sz w:val="20"/>
                <w:szCs w:val="20"/>
              </w:rPr>
              <w:t>94</w:t>
            </w:r>
          </w:p>
        </w:tc>
        <w:tc>
          <w:tcPr>
            <w:tcW w:w="1850" w:type="dxa"/>
          </w:tcPr>
          <w:p w:rsidR="00692B88" w:rsidRPr="00692B88" w:rsidRDefault="002F1D78" w:rsidP="00692B88">
            <w:pPr>
              <w:pStyle w:val="ListParagraph"/>
              <w:ind w:left="0"/>
              <w:rPr>
                <w:sz w:val="20"/>
                <w:szCs w:val="20"/>
              </w:rPr>
            </w:pPr>
            <w:r>
              <w:rPr>
                <w:sz w:val="20"/>
                <w:szCs w:val="20"/>
              </w:rPr>
              <w:t>5</w:t>
            </w:r>
          </w:p>
        </w:tc>
        <w:tc>
          <w:tcPr>
            <w:tcW w:w="1980" w:type="dxa"/>
          </w:tcPr>
          <w:p w:rsidR="00692B88" w:rsidRPr="00692B88" w:rsidRDefault="002F1D78" w:rsidP="00692B88">
            <w:pPr>
              <w:pStyle w:val="ListParagraph"/>
              <w:ind w:left="0"/>
              <w:rPr>
                <w:sz w:val="20"/>
                <w:szCs w:val="20"/>
              </w:rPr>
            </w:pPr>
            <w:r>
              <w:rPr>
                <w:sz w:val="20"/>
                <w:szCs w:val="20"/>
              </w:rPr>
              <w:t>99</w:t>
            </w:r>
          </w:p>
        </w:tc>
      </w:tr>
      <w:tr w:rsidR="00692B88" w:rsidTr="007B72E7">
        <w:tc>
          <w:tcPr>
            <w:tcW w:w="1728" w:type="dxa"/>
          </w:tcPr>
          <w:p w:rsidR="00692B88" w:rsidRPr="00692B88" w:rsidRDefault="00692B88" w:rsidP="00692B88">
            <w:pPr>
              <w:pStyle w:val="ListParagraph"/>
              <w:ind w:left="0"/>
              <w:rPr>
                <w:sz w:val="20"/>
                <w:szCs w:val="20"/>
              </w:rPr>
            </w:pPr>
            <w:r>
              <w:rPr>
                <w:sz w:val="20"/>
                <w:szCs w:val="20"/>
              </w:rPr>
              <w:t>State 1 time</w:t>
            </w:r>
          </w:p>
        </w:tc>
        <w:tc>
          <w:tcPr>
            <w:tcW w:w="1233" w:type="dxa"/>
          </w:tcPr>
          <w:p w:rsidR="00692B88" w:rsidRPr="00692B88" w:rsidRDefault="00D8226E" w:rsidP="00692B88">
            <w:pPr>
              <w:pStyle w:val="ListParagraph"/>
              <w:ind w:left="0"/>
              <w:rPr>
                <w:sz w:val="20"/>
                <w:szCs w:val="20"/>
              </w:rPr>
            </w:pPr>
            <w:r>
              <w:rPr>
                <w:sz w:val="20"/>
                <w:szCs w:val="20"/>
              </w:rPr>
              <w:t>4</w:t>
            </w:r>
          </w:p>
        </w:tc>
        <w:tc>
          <w:tcPr>
            <w:tcW w:w="1387" w:type="dxa"/>
          </w:tcPr>
          <w:p w:rsidR="00692B88" w:rsidRPr="00692B88" w:rsidRDefault="00D8226E" w:rsidP="00692B88">
            <w:pPr>
              <w:pStyle w:val="ListParagraph"/>
              <w:ind w:left="0"/>
              <w:rPr>
                <w:sz w:val="20"/>
                <w:szCs w:val="20"/>
              </w:rPr>
            </w:pPr>
            <w:r w:rsidRPr="00D8226E">
              <w:rPr>
                <w:color w:val="FF0000"/>
                <w:sz w:val="20"/>
                <w:szCs w:val="20"/>
              </w:rPr>
              <w:t>-4</w:t>
            </w:r>
          </w:p>
        </w:tc>
        <w:tc>
          <w:tcPr>
            <w:tcW w:w="1380" w:type="dxa"/>
          </w:tcPr>
          <w:p w:rsidR="00692B88" w:rsidRPr="00692B88" w:rsidRDefault="00692B88" w:rsidP="00692B88">
            <w:pPr>
              <w:pStyle w:val="ListParagraph"/>
              <w:ind w:left="0"/>
              <w:rPr>
                <w:sz w:val="20"/>
                <w:szCs w:val="20"/>
              </w:rPr>
            </w:pPr>
          </w:p>
        </w:tc>
        <w:tc>
          <w:tcPr>
            <w:tcW w:w="1850" w:type="dxa"/>
          </w:tcPr>
          <w:p w:rsidR="00692B88" w:rsidRPr="00692B88" w:rsidRDefault="00692B88" w:rsidP="00692B88">
            <w:pPr>
              <w:pStyle w:val="ListParagraph"/>
              <w:ind w:left="0"/>
              <w:rPr>
                <w:sz w:val="20"/>
                <w:szCs w:val="20"/>
              </w:rPr>
            </w:pPr>
          </w:p>
        </w:tc>
        <w:tc>
          <w:tcPr>
            <w:tcW w:w="1980" w:type="dxa"/>
          </w:tcPr>
          <w:p w:rsidR="00692B88" w:rsidRPr="00692B88" w:rsidRDefault="00692B88" w:rsidP="00692B88">
            <w:pPr>
              <w:pStyle w:val="ListParagraph"/>
              <w:ind w:left="0"/>
              <w:rPr>
                <w:sz w:val="20"/>
                <w:szCs w:val="20"/>
              </w:rPr>
            </w:pPr>
          </w:p>
        </w:tc>
      </w:tr>
      <w:tr w:rsidR="002F1D78" w:rsidTr="007B72E7">
        <w:tc>
          <w:tcPr>
            <w:tcW w:w="1728" w:type="dxa"/>
          </w:tcPr>
          <w:p w:rsidR="002F1D78" w:rsidRPr="00692B88" w:rsidRDefault="002F1D78" w:rsidP="00692B88">
            <w:pPr>
              <w:pStyle w:val="ListParagraph"/>
              <w:ind w:left="0"/>
              <w:rPr>
                <w:sz w:val="20"/>
                <w:szCs w:val="20"/>
              </w:rPr>
            </w:pPr>
            <w:r>
              <w:rPr>
                <w:sz w:val="20"/>
                <w:szCs w:val="20"/>
              </w:rPr>
              <w:t>Interest</w:t>
            </w:r>
          </w:p>
        </w:tc>
        <w:tc>
          <w:tcPr>
            <w:tcW w:w="1233" w:type="dxa"/>
          </w:tcPr>
          <w:p w:rsidR="002F1D78" w:rsidRPr="00692B88" w:rsidRDefault="002F1D78" w:rsidP="00692B88">
            <w:pPr>
              <w:pStyle w:val="ListParagraph"/>
              <w:ind w:left="0"/>
              <w:rPr>
                <w:sz w:val="20"/>
                <w:szCs w:val="20"/>
              </w:rPr>
            </w:pPr>
            <w:r>
              <w:rPr>
                <w:sz w:val="20"/>
                <w:szCs w:val="20"/>
              </w:rPr>
              <w:t>0.6</w:t>
            </w:r>
          </w:p>
        </w:tc>
        <w:tc>
          <w:tcPr>
            <w:tcW w:w="1387" w:type="dxa"/>
          </w:tcPr>
          <w:p w:rsidR="002F1D78" w:rsidRPr="00692B88" w:rsidRDefault="002F1D78" w:rsidP="00692B88">
            <w:pPr>
              <w:pStyle w:val="ListParagraph"/>
              <w:ind w:left="0"/>
              <w:rPr>
                <w:sz w:val="20"/>
                <w:szCs w:val="20"/>
              </w:rPr>
            </w:pPr>
            <w:r w:rsidRPr="00D8226E">
              <w:rPr>
                <w:color w:val="FF0000"/>
                <w:sz w:val="20"/>
                <w:szCs w:val="20"/>
              </w:rPr>
              <w:t>-0.1</w:t>
            </w:r>
          </w:p>
        </w:tc>
        <w:tc>
          <w:tcPr>
            <w:tcW w:w="1380" w:type="dxa"/>
          </w:tcPr>
          <w:p w:rsidR="002F1D78" w:rsidRPr="00692B88" w:rsidRDefault="002F1D78" w:rsidP="00692B88">
            <w:pPr>
              <w:pStyle w:val="ListParagraph"/>
              <w:ind w:left="0"/>
              <w:rPr>
                <w:sz w:val="20"/>
                <w:szCs w:val="20"/>
              </w:rPr>
            </w:pPr>
            <w:r>
              <w:rPr>
                <w:sz w:val="20"/>
                <w:szCs w:val="20"/>
              </w:rPr>
              <w:t>0.7</w:t>
            </w:r>
          </w:p>
        </w:tc>
        <w:tc>
          <w:tcPr>
            <w:tcW w:w="1850" w:type="dxa"/>
          </w:tcPr>
          <w:p w:rsidR="002F1D78" w:rsidRPr="00692B88" w:rsidRDefault="002F1D78" w:rsidP="00692B88">
            <w:pPr>
              <w:pStyle w:val="ListParagraph"/>
              <w:ind w:left="0"/>
              <w:rPr>
                <w:sz w:val="20"/>
                <w:szCs w:val="20"/>
              </w:rPr>
            </w:pPr>
          </w:p>
        </w:tc>
        <w:tc>
          <w:tcPr>
            <w:tcW w:w="1980" w:type="dxa"/>
          </w:tcPr>
          <w:p w:rsidR="002F1D78" w:rsidRPr="00692B88" w:rsidRDefault="002F1D78" w:rsidP="000C0DA0">
            <w:pPr>
              <w:pStyle w:val="ListParagraph"/>
              <w:ind w:left="0"/>
              <w:rPr>
                <w:sz w:val="20"/>
                <w:szCs w:val="20"/>
              </w:rPr>
            </w:pPr>
            <w:r>
              <w:rPr>
                <w:sz w:val="20"/>
                <w:szCs w:val="20"/>
              </w:rPr>
              <w:t>0.7</w:t>
            </w:r>
          </w:p>
        </w:tc>
      </w:tr>
      <w:tr w:rsidR="002F1D78" w:rsidTr="007B72E7">
        <w:tc>
          <w:tcPr>
            <w:tcW w:w="1728" w:type="dxa"/>
          </w:tcPr>
          <w:p w:rsidR="002F1D78" w:rsidRPr="00692B88" w:rsidRDefault="002F1D78" w:rsidP="00692B88">
            <w:pPr>
              <w:pStyle w:val="ListParagraph"/>
              <w:ind w:left="0"/>
              <w:rPr>
                <w:sz w:val="20"/>
                <w:szCs w:val="20"/>
              </w:rPr>
            </w:pPr>
            <w:r>
              <w:rPr>
                <w:sz w:val="20"/>
                <w:szCs w:val="20"/>
              </w:rPr>
              <w:t>Tuition &amp; Fees</w:t>
            </w:r>
          </w:p>
        </w:tc>
        <w:tc>
          <w:tcPr>
            <w:tcW w:w="1233" w:type="dxa"/>
          </w:tcPr>
          <w:p w:rsidR="002F1D78" w:rsidRPr="00692B88" w:rsidRDefault="002F1D78" w:rsidP="00692B88">
            <w:pPr>
              <w:pStyle w:val="ListParagraph"/>
              <w:ind w:left="0"/>
              <w:rPr>
                <w:sz w:val="20"/>
                <w:szCs w:val="20"/>
              </w:rPr>
            </w:pPr>
            <w:r>
              <w:rPr>
                <w:sz w:val="20"/>
                <w:szCs w:val="20"/>
              </w:rPr>
              <w:t>76.9</w:t>
            </w:r>
          </w:p>
        </w:tc>
        <w:tc>
          <w:tcPr>
            <w:tcW w:w="1387" w:type="dxa"/>
          </w:tcPr>
          <w:p w:rsidR="002F1D78" w:rsidRPr="00692B88" w:rsidRDefault="002F1D78" w:rsidP="00692B88">
            <w:pPr>
              <w:pStyle w:val="ListParagraph"/>
              <w:ind w:left="0"/>
              <w:rPr>
                <w:sz w:val="20"/>
                <w:szCs w:val="20"/>
              </w:rPr>
            </w:pPr>
            <w:r w:rsidRPr="00D8226E">
              <w:rPr>
                <w:color w:val="FF0000"/>
                <w:sz w:val="20"/>
                <w:szCs w:val="20"/>
              </w:rPr>
              <w:t>-2.4</w:t>
            </w:r>
          </w:p>
        </w:tc>
        <w:tc>
          <w:tcPr>
            <w:tcW w:w="1380" w:type="dxa"/>
          </w:tcPr>
          <w:p w:rsidR="002F1D78" w:rsidRPr="00692B88" w:rsidRDefault="002F1D78" w:rsidP="00692B88">
            <w:pPr>
              <w:pStyle w:val="ListParagraph"/>
              <w:ind w:left="0"/>
              <w:rPr>
                <w:sz w:val="20"/>
                <w:szCs w:val="20"/>
              </w:rPr>
            </w:pPr>
            <w:r>
              <w:rPr>
                <w:sz w:val="20"/>
                <w:szCs w:val="20"/>
              </w:rPr>
              <w:t>74</w:t>
            </w:r>
          </w:p>
        </w:tc>
        <w:tc>
          <w:tcPr>
            <w:tcW w:w="1850" w:type="dxa"/>
          </w:tcPr>
          <w:p w:rsidR="002F1D78" w:rsidRPr="00692B88" w:rsidRDefault="002F1D78" w:rsidP="00692B88">
            <w:pPr>
              <w:pStyle w:val="ListParagraph"/>
              <w:ind w:left="0"/>
              <w:rPr>
                <w:sz w:val="20"/>
                <w:szCs w:val="20"/>
              </w:rPr>
            </w:pPr>
          </w:p>
        </w:tc>
        <w:tc>
          <w:tcPr>
            <w:tcW w:w="1980" w:type="dxa"/>
          </w:tcPr>
          <w:p w:rsidR="002F1D78" w:rsidRPr="00692B88" w:rsidRDefault="002F1D78" w:rsidP="000C0DA0">
            <w:pPr>
              <w:pStyle w:val="ListParagraph"/>
              <w:ind w:left="0"/>
              <w:rPr>
                <w:sz w:val="20"/>
                <w:szCs w:val="20"/>
              </w:rPr>
            </w:pPr>
            <w:r>
              <w:rPr>
                <w:sz w:val="20"/>
                <w:szCs w:val="20"/>
              </w:rPr>
              <w:t>74</w:t>
            </w:r>
          </w:p>
        </w:tc>
      </w:tr>
      <w:tr w:rsidR="002F1D78" w:rsidTr="007B72E7">
        <w:tc>
          <w:tcPr>
            <w:tcW w:w="1728" w:type="dxa"/>
          </w:tcPr>
          <w:p w:rsidR="002F1D78" w:rsidRPr="00692B88" w:rsidRDefault="002F1D78" w:rsidP="00692B88">
            <w:pPr>
              <w:pStyle w:val="ListParagraph"/>
              <w:ind w:left="0"/>
              <w:rPr>
                <w:sz w:val="20"/>
                <w:szCs w:val="20"/>
              </w:rPr>
            </w:pPr>
            <w:r>
              <w:rPr>
                <w:sz w:val="20"/>
                <w:szCs w:val="20"/>
              </w:rPr>
              <w:t>Indirect</w:t>
            </w:r>
          </w:p>
        </w:tc>
        <w:tc>
          <w:tcPr>
            <w:tcW w:w="1233" w:type="dxa"/>
          </w:tcPr>
          <w:p w:rsidR="002F1D78" w:rsidRPr="00692B88" w:rsidRDefault="002F1D78" w:rsidP="00692B88">
            <w:pPr>
              <w:pStyle w:val="ListParagraph"/>
              <w:ind w:left="0"/>
              <w:rPr>
                <w:sz w:val="20"/>
                <w:szCs w:val="20"/>
              </w:rPr>
            </w:pPr>
            <w:r>
              <w:rPr>
                <w:sz w:val="20"/>
                <w:szCs w:val="20"/>
              </w:rPr>
              <w:t>1.3</w:t>
            </w:r>
          </w:p>
        </w:tc>
        <w:tc>
          <w:tcPr>
            <w:tcW w:w="1387" w:type="dxa"/>
          </w:tcPr>
          <w:p w:rsidR="002F1D78" w:rsidRPr="00692B88" w:rsidRDefault="002F1D78" w:rsidP="00692B88">
            <w:pPr>
              <w:pStyle w:val="ListParagraph"/>
              <w:ind w:left="0"/>
              <w:rPr>
                <w:sz w:val="20"/>
                <w:szCs w:val="20"/>
              </w:rPr>
            </w:pPr>
          </w:p>
        </w:tc>
        <w:tc>
          <w:tcPr>
            <w:tcW w:w="1380" w:type="dxa"/>
          </w:tcPr>
          <w:p w:rsidR="002F1D78" w:rsidRPr="00692B88" w:rsidRDefault="002F1D78" w:rsidP="00692B88">
            <w:pPr>
              <w:pStyle w:val="ListParagraph"/>
              <w:ind w:left="0"/>
              <w:rPr>
                <w:sz w:val="20"/>
                <w:szCs w:val="20"/>
              </w:rPr>
            </w:pPr>
            <w:r>
              <w:rPr>
                <w:sz w:val="20"/>
                <w:szCs w:val="20"/>
              </w:rPr>
              <w:t>1.3</w:t>
            </w:r>
          </w:p>
        </w:tc>
        <w:tc>
          <w:tcPr>
            <w:tcW w:w="1850" w:type="dxa"/>
          </w:tcPr>
          <w:p w:rsidR="002F1D78" w:rsidRPr="00692B88" w:rsidRDefault="002F1D78" w:rsidP="00692B88">
            <w:pPr>
              <w:pStyle w:val="ListParagraph"/>
              <w:ind w:left="0"/>
              <w:rPr>
                <w:sz w:val="20"/>
                <w:szCs w:val="20"/>
              </w:rPr>
            </w:pPr>
          </w:p>
        </w:tc>
        <w:tc>
          <w:tcPr>
            <w:tcW w:w="1980" w:type="dxa"/>
          </w:tcPr>
          <w:p w:rsidR="002F1D78" w:rsidRPr="00692B88" w:rsidRDefault="002F1D78" w:rsidP="000C0DA0">
            <w:pPr>
              <w:pStyle w:val="ListParagraph"/>
              <w:ind w:left="0"/>
              <w:rPr>
                <w:sz w:val="20"/>
                <w:szCs w:val="20"/>
              </w:rPr>
            </w:pPr>
            <w:r>
              <w:rPr>
                <w:sz w:val="20"/>
                <w:szCs w:val="20"/>
              </w:rPr>
              <w:t>1.3</w:t>
            </w:r>
          </w:p>
        </w:tc>
      </w:tr>
      <w:tr w:rsidR="002F1D78" w:rsidTr="007B72E7">
        <w:tc>
          <w:tcPr>
            <w:tcW w:w="1728" w:type="dxa"/>
            <w:tcBorders>
              <w:bottom w:val="single" w:sz="4" w:space="0" w:color="auto"/>
            </w:tcBorders>
          </w:tcPr>
          <w:p w:rsidR="002F1D78" w:rsidRPr="00692B88" w:rsidRDefault="002F1D78" w:rsidP="00692B88">
            <w:pPr>
              <w:pStyle w:val="ListParagraph"/>
              <w:ind w:left="0"/>
              <w:rPr>
                <w:sz w:val="20"/>
                <w:szCs w:val="20"/>
              </w:rPr>
            </w:pPr>
            <w:r>
              <w:rPr>
                <w:sz w:val="20"/>
                <w:szCs w:val="20"/>
              </w:rPr>
              <w:t>Sales</w:t>
            </w:r>
          </w:p>
        </w:tc>
        <w:tc>
          <w:tcPr>
            <w:tcW w:w="1233" w:type="dxa"/>
            <w:tcBorders>
              <w:bottom w:val="single" w:sz="4" w:space="0" w:color="auto"/>
            </w:tcBorders>
          </w:tcPr>
          <w:p w:rsidR="002F1D78" w:rsidRPr="00692B88" w:rsidRDefault="002F1D78" w:rsidP="00692B88">
            <w:pPr>
              <w:pStyle w:val="ListParagraph"/>
              <w:ind w:left="0"/>
              <w:rPr>
                <w:sz w:val="20"/>
                <w:szCs w:val="20"/>
              </w:rPr>
            </w:pPr>
            <w:r>
              <w:rPr>
                <w:sz w:val="20"/>
                <w:szCs w:val="20"/>
              </w:rPr>
              <w:t>0.5</w:t>
            </w:r>
          </w:p>
        </w:tc>
        <w:tc>
          <w:tcPr>
            <w:tcW w:w="1387" w:type="dxa"/>
            <w:tcBorders>
              <w:bottom w:val="single" w:sz="4" w:space="0" w:color="auto"/>
            </w:tcBorders>
          </w:tcPr>
          <w:p w:rsidR="002F1D78" w:rsidRPr="00692B88" w:rsidRDefault="002F1D78" w:rsidP="00692B88">
            <w:pPr>
              <w:pStyle w:val="ListParagraph"/>
              <w:ind w:left="0"/>
              <w:rPr>
                <w:sz w:val="20"/>
                <w:szCs w:val="20"/>
              </w:rPr>
            </w:pPr>
          </w:p>
        </w:tc>
        <w:tc>
          <w:tcPr>
            <w:tcW w:w="1380" w:type="dxa"/>
            <w:tcBorders>
              <w:bottom w:val="single" w:sz="4" w:space="0" w:color="auto"/>
            </w:tcBorders>
          </w:tcPr>
          <w:p w:rsidR="002F1D78" w:rsidRPr="00692B88" w:rsidRDefault="002F1D78" w:rsidP="00692B88">
            <w:pPr>
              <w:pStyle w:val="ListParagraph"/>
              <w:ind w:left="0"/>
              <w:rPr>
                <w:sz w:val="20"/>
                <w:szCs w:val="20"/>
              </w:rPr>
            </w:pPr>
            <w:r>
              <w:rPr>
                <w:sz w:val="20"/>
                <w:szCs w:val="20"/>
              </w:rPr>
              <w:t>0.5</w:t>
            </w:r>
          </w:p>
        </w:tc>
        <w:tc>
          <w:tcPr>
            <w:tcW w:w="1850" w:type="dxa"/>
            <w:tcBorders>
              <w:bottom w:val="single" w:sz="4" w:space="0" w:color="auto"/>
            </w:tcBorders>
          </w:tcPr>
          <w:p w:rsidR="002F1D78" w:rsidRPr="00692B88" w:rsidRDefault="002F1D78" w:rsidP="00692B88">
            <w:pPr>
              <w:pStyle w:val="ListParagraph"/>
              <w:ind w:left="0"/>
              <w:rPr>
                <w:sz w:val="20"/>
                <w:szCs w:val="20"/>
              </w:rPr>
            </w:pPr>
          </w:p>
        </w:tc>
        <w:tc>
          <w:tcPr>
            <w:tcW w:w="1980" w:type="dxa"/>
            <w:tcBorders>
              <w:bottom w:val="single" w:sz="4" w:space="0" w:color="auto"/>
            </w:tcBorders>
          </w:tcPr>
          <w:p w:rsidR="002F1D78" w:rsidRPr="00692B88" w:rsidRDefault="002F1D78" w:rsidP="000C0DA0">
            <w:pPr>
              <w:pStyle w:val="ListParagraph"/>
              <w:ind w:left="0"/>
              <w:rPr>
                <w:sz w:val="20"/>
                <w:szCs w:val="20"/>
              </w:rPr>
            </w:pPr>
            <w:r>
              <w:rPr>
                <w:sz w:val="20"/>
                <w:szCs w:val="20"/>
              </w:rPr>
              <w:t>0.5</w:t>
            </w:r>
          </w:p>
        </w:tc>
      </w:tr>
      <w:tr w:rsidR="002F1D78" w:rsidTr="007B72E7">
        <w:tc>
          <w:tcPr>
            <w:tcW w:w="1728" w:type="dxa"/>
            <w:shd w:val="clear" w:color="auto" w:fill="FFFF00"/>
          </w:tcPr>
          <w:p w:rsidR="002F1D78" w:rsidRPr="00692B88" w:rsidRDefault="002F1D78" w:rsidP="00692B88">
            <w:pPr>
              <w:pStyle w:val="ListParagraph"/>
              <w:ind w:left="0"/>
              <w:rPr>
                <w:sz w:val="20"/>
                <w:szCs w:val="20"/>
              </w:rPr>
            </w:pPr>
            <w:r>
              <w:rPr>
                <w:sz w:val="20"/>
                <w:szCs w:val="20"/>
              </w:rPr>
              <w:t>Total Revenue</w:t>
            </w:r>
          </w:p>
        </w:tc>
        <w:tc>
          <w:tcPr>
            <w:tcW w:w="1233" w:type="dxa"/>
            <w:shd w:val="clear" w:color="auto" w:fill="FFFF00"/>
          </w:tcPr>
          <w:p w:rsidR="002F1D78" w:rsidRPr="00692B88" w:rsidRDefault="002F1D78" w:rsidP="00692B88">
            <w:pPr>
              <w:pStyle w:val="ListParagraph"/>
              <w:ind w:left="0"/>
              <w:rPr>
                <w:sz w:val="20"/>
                <w:szCs w:val="20"/>
              </w:rPr>
            </w:pPr>
            <w:r>
              <w:rPr>
                <w:sz w:val="20"/>
                <w:szCs w:val="20"/>
              </w:rPr>
              <w:t>173</w:t>
            </w:r>
          </w:p>
        </w:tc>
        <w:tc>
          <w:tcPr>
            <w:tcW w:w="1387" w:type="dxa"/>
            <w:shd w:val="clear" w:color="auto" w:fill="FFFF00"/>
          </w:tcPr>
          <w:p w:rsidR="002F1D78" w:rsidRPr="00692B88" w:rsidRDefault="002F1D78" w:rsidP="00692B88">
            <w:pPr>
              <w:pStyle w:val="ListParagraph"/>
              <w:ind w:left="0"/>
              <w:rPr>
                <w:sz w:val="20"/>
                <w:szCs w:val="20"/>
              </w:rPr>
            </w:pPr>
            <w:r w:rsidRPr="00D8226E">
              <w:rPr>
                <w:color w:val="FF0000"/>
                <w:sz w:val="20"/>
                <w:szCs w:val="20"/>
              </w:rPr>
              <w:t>-1.4</w:t>
            </w:r>
          </w:p>
        </w:tc>
        <w:tc>
          <w:tcPr>
            <w:tcW w:w="1380" w:type="dxa"/>
            <w:shd w:val="clear" w:color="auto" w:fill="FFFF00"/>
          </w:tcPr>
          <w:p w:rsidR="002F1D78" w:rsidRPr="00692B88" w:rsidRDefault="002F1D78" w:rsidP="00692B88">
            <w:pPr>
              <w:pStyle w:val="ListParagraph"/>
              <w:ind w:left="0"/>
              <w:rPr>
                <w:sz w:val="20"/>
                <w:szCs w:val="20"/>
              </w:rPr>
            </w:pPr>
            <w:r>
              <w:rPr>
                <w:sz w:val="20"/>
                <w:szCs w:val="20"/>
              </w:rPr>
              <w:t>171</w:t>
            </w:r>
          </w:p>
        </w:tc>
        <w:tc>
          <w:tcPr>
            <w:tcW w:w="1850" w:type="dxa"/>
            <w:shd w:val="clear" w:color="auto" w:fill="FFFF00"/>
          </w:tcPr>
          <w:p w:rsidR="002F1D78" w:rsidRPr="00692B88" w:rsidRDefault="002F1D78" w:rsidP="00692B88">
            <w:pPr>
              <w:pStyle w:val="ListParagraph"/>
              <w:ind w:left="0"/>
              <w:rPr>
                <w:sz w:val="20"/>
                <w:szCs w:val="20"/>
              </w:rPr>
            </w:pPr>
            <w:r>
              <w:rPr>
                <w:sz w:val="20"/>
                <w:szCs w:val="20"/>
              </w:rPr>
              <w:t>5</w:t>
            </w:r>
          </w:p>
        </w:tc>
        <w:tc>
          <w:tcPr>
            <w:tcW w:w="1980" w:type="dxa"/>
            <w:shd w:val="clear" w:color="auto" w:fill="FFFF00"/>
          </w:tcPr>
          <w:p w:rsidR="002F1D78" w:rsidRPr="00692B88" w:rsidRDefault="002F1D78" w:rsidP="00692B88">
            <w:pPr>
              <w:pStyle w:val="ListParagraph"/>
              <w:ind w:left="0"/>
              <w:rPr>
                <w:sz w:val="20"/>
                <w:szCs w:val="20"/>
              </w:rPr>
            </w:pPr>
            <w:r>
              <w:rPr>
                <w:sz w:val="20"/>
                <w:szCs w:val="20"/>
              </w:rPr>
              <w:t>176</w:t>
            </w:r>
          </w:p>
        </w:tc>
      </w:tr>
      <w:tr w:rsidR="002F1D78" w:rsidTr="007B72E7">
        <w:tc>
          <w:tcPr>
            <w:tcW w:w="1728" w:type="dxa"/>
          </w:tcPr>
          <w:p w:rsidR="002F1D78" w:rsidRPr="00D8226E" w:rsidRDefault="002F1D78" w:rsidP="00692B88">
            <w:pPr>
              <w:pStyle w:val="ListParagraph"/>
              <w:ind w:left="0"/>
              <w:rPr>
                <w:b/>
                <w:sz w:val="20"/>
                <w:szCs w:val="20"/>
                <w:u w:val="single"/>
              </w:rPr>
            </w:pPr>
            <w:r w:rsidRPr="00D8226E">
              <w:rPr>
                <w:b/>
                <w:sz w:val="20"/>
                <w:szCs w:val="20"/>
                <w:u w:val="single"/>
              </w:rPr>
              <w:t>Expenses</w:t>
            </w:r>
          </w:p>
        </w:tc>
        <w:tc>
          <w:tcPr>
            <w:tcW w:w="1233" w:type="dxa"/>
          </w:tcPr>
          <w:p w:rsidR="002F1D78" w:rsidRPr="00692B88" w:rsidRDefault="002F1D78" w:rsidP="00692B88">
            <w:pPr>
              <w:pStyle w:val="ListParagraph"/>
              <w:ind w:left="0"/>
              <w:rPr>
                <w:sz w:val="20"/>
                <w:szCs w:val="20"/>
              </w:rPr>
            </w:pPr>
          </w:p>
        </w:tc>
        <w:tc>
          <w:tcPr>
            <w:tcW w:w="1387" w:type="dxa"/>
          </w:tcPr>
          <w:p w:rsidR="002F1D78" w:rsidRPr="00692B88" w:rsidRDefault="002F1D78" w:rsidP="00692B88">
            <w:pPr>
              <w:pStyle w:val="ListParagraph"/>
              <w:ind w:left="0"/>
              <w:rPr>
                <w:sz w:val="20"/>
                <w:szCs w:val="20"/>
              </w:rPr>
            </w:pPr>
          </w:p>
        </w:tc>
        <w:tc>
          <w:tcPr>
            <w:tcW w:w="1380" w:type="dxa"/>
          </w:tcPr>
          <w:p w:rsidR="002F1D78" w:rsidRPr="00692B88" w:rsidRDefault="002F1D78" w:rsidP="00692B88">
            <w:pPr>
              <w:pStyle w:val="ListParagraph"/>
              <w:ind w:left="0"/>
              <w:rPr>
                <w:sz w:val="20"/>
                <w:szCs w:val="20"/>
              </w:rPr>
            </w:pPr>
          </w:p>
        </w:tc>
        <w:tc>
          <w:tcPr>
            <w:tcW w:w="1850" w:type="dxa"/>
          </w:tcPr>
          <w:p w:rsidR="002F1D78" w:rsidRPr="00692B88" w:rsidRDefault="002F1D78" w:rsidP="00692B88">
            <w:pPr>
              <w:pStyle w:val="ListParagraph"/>
              <w:ind w:left="0"/>
              <w:rPr>
                <w:sz w:val="20"/>
                <w:szCs w:val="20"/>
              </w:rPr>
            </w:pPr>
          </w:p>
        </w:tc>
        <w:tc>
          <w:tcPr>
            <w:tcW w:w="1980" w:type="dxa"/>
          </w:tcPr>
          <w:p w:rsidR="002F1D78" w:rsidRPr="00692B88" w:rsidRDefault="002F1D78" w:rsidP="00692B88">
            <w:pPr>
              <w:pStyle w:val="ListParagraph"/>
              <w:ind w:left="0"/>
              <w:rPr>
                <w:sz w:val="20"/>
                <w:szCs w:val="20"/>
              </w:rPr>
            </w:pPr>
          </w:p>
        </w:tc>
      </w:tr>
      <w:tr w:rsidR="002F1D78" w:rsidTr="007B72E7">
        <w:tc>
          <w:tcPr>
            <w:tcW w:w="1728" w:type="dxa"/>
          </w:tcPr>
          <w:p w:rsidR="002F1D78" w:rsidRPr="00692B88" w:rsidRDefault="002F1D78" w:rsidP="00692B88">
            <w:pPr>
              <w:pStyle w:val="ListParagraph"/>
              <w:ind w:left="0"/>
              <w:rPr>
                <w:sz w:val="20"/>
                <w:szCs w:val="20"/>
              </w:rPr>
            </w:pPr>
            <w:proofErr w:type="spellStart"/>
            <w:r>
              <w:rPr>
                <w:sz w:val="20"/>
                <w:szCs w:val="20"/>
              </w:rPr>
              <w:t>Fac</w:t>
            </w:r>
            <w:proofErr w:type="spellEnd"/>
            <w:r>
              <w:rPr>
                <w:sz w:val="20"/>
                <w:szCs w:val="20"/>
              </w:rPr>
              <w:t xml:space="preserve"> &amp; Instr. Off Salaries/Benefits</w:t>
            </w:r>
          </w:p>
        </w:tc>
        <w:tc>
          <w:tcPr>
            <w:tcW w:w="1233" w:type="dxa"/>
          </w:tcPr>
          <w:p w:rsidR="002F1D78" w:rsidRPr="00692B88" w:rsidRDefault="002F1D78" w:rsidP="00692B88">
            <w:pPr>
              <w:pStyle w:val="ListParagraph"/>
              <w:ind w:left="0"/>
              <w:rPr>
                <w:sz w:val="20"/>
                <w:szCs w:val="20"/>
              </w:rPr>
            </w:pPr>
            <w:r>
              <w:rPr>
                <w:sz w:val="20"/>
                <w:szCs w:val="20"/>
              </w:rPr>
              <w:t>75.7</w:t>
            </w:r>
          </w:p>
        </w:tc>
        <w:tc>
          <w:tcPr>
            <w:tcW w:w="1387" w:type="dxa"/>
          </w:tcPr>
          <w:p w:rsidR="002F1D78" w:rsidRPr="00692B88" w:rsidRDefault="002F1D78" w:rsidP="00692B88">
            <w:pPr>
              <w:pStyle w:val="ListParagraph"/>
              <w:ind w:left="0"/>
              <w:rPr>
                <w:sz w:val="20"/>
                <w:szCs w:val="20"/>
              </w:rPr>
            </w:pPr>
            <w:r w:rsidRPr="00D8226E">
              <w:rPr>
                <w:color w:val="FF0000"/>
                <w:sz w:val="20"/>
                <w:szCs w:val="20"/>
              </w:rPr>
              <w:t>-0.3</w:t>
            </w:r>
          </w:p>
        </w:tc>
        <w:tc>
          <w:tcPr>
            <w:tcW w:w="1380" w:type="dxa"/>
          </w:tcPr>
          <w:p w:rsidR="002F1D78" w:rsidRPr="00692B88" w:rsidRDefault="002F1D78" w:rsidP="00692B88">
            <w:pPr>
              <w:pStyle w:val="ListParagraph"/>
              <w:ind w:left="0"/>
              <w:rPr>
                <w:sz w:val="20"/>
                <w:szCs w:val="20"/>
              </w:rPr>
            </w:pPr>
            <w:r>
              <w:rPr>
                <w:sz w:val="20"/>
                <w:szCs w:val="20"/>
              </w:rPr>
              <w:t>75.3</w:t>
            </w:r>
          </w:p>
        </w:tc>
        <w:tc>
          <w:tcPr>
            <w:tcW w:w="1850" w:type="dxa"/>
          </w:tcPr>
          <w:p w:rsidR="002F1D78" w:rsidRPr="00692B88" w:rsidRDefault="002F1D78" w:rsidP="00692B88">
            <w:pPr>
              <w:pStyle w:val="ListParagraph"/>
              <w:ind w:left="0"/>
              <w:rPr>
                <w:sz w:val="20"/>
                <w:szCs w:val="20"/>
              </w:rPr>
            </w:pPr>
          </w:p>
        </w:tc>
        <w:tc>
          <w:tcPr>
            <w:tcW w:w="1980" w:type="dxa"/>
          </w:tcPr>
          <w:p w:rsidR="002F1D78" w:rsidRPr="00692B88" w:rsidRDefault="002F1D78" w:rsidP="00692B88">
            <w:pPr>
              <w:pStyle w:val="ListParagraph"/>
              <w:ind w:left="0"/>
              <w:rPr>
                <w:sz w:val="20"/>
                <w:szCs w:val="20"/>
              </w:rPr>
            </w:pPr>
            <w:r>
              <w:rPr>
                <w:sz w:val="20"/>
                <w:szCs w:val="20"/>
              </w:rPr>
              <w:t>75.3</w:t>
            </w:r>
          </w:p>
        </w:tc>
      </w:tr>
      <w:tr w:rsidR="002F1D78" w:rsidTr="007B72E7">
        <w:tc>
          <w:tcPr>
            <w:tcW w:w="1728" w:type="dxa"/>
          </w:tcPr>
          <w:p w:rsidR="002F1D78" w:rsidRPr="00692B88" w:rsidRDefault="002F1D78" w:rsidP="00692B88">
            <w:pPr>
              <w:pStyle w:val="ListParagraph"/>
              <w:ind w:left="0"/>
              <w:rPr>
                <w:sz w:val="20"/>
                <w:szCs w:val="20"/>
              </w:rPr>
            </w:pPr>
            <w:r>
              <w:rPr>
                <w:sz w:val="20"/>
                <w:szCs w:val="20"/>
              </w:rPr>
              <w:t xml:space="preserve">Prof. &amp; </w:t>
            </w:r>
            <w:proofErr w:type="spellStart"/>
            <w:r>
              <w:rPr>
                <w:sz w:val="20"/>
                <w:szCs w:val="20"/>
              </w:rPr>
              <w:t>Sci</w:t>
            </w:r>
            <w:proofErr w:type="spellEnd"/>
            <w:r>
              <w:rPr>
                <w:sz w:val="20"/>
                <w:szCs w:val="20"/>
              </w:rPr>
              <w:t xml:space="preserve"> Salaries/Benefits</w:t>
            </w:r>
          </w:p>
        </w:tc>
        <w:tc>
          <w:tcPr>
            <w:tcW w:w="1233" w:type="dxa"/>
          </w:tcPr>
          <w:p w:rsidR="002F1D78" w:rsidRPr="00692B88" w:rsidRDefault="002F1D78" w:rsidP="00692B88">
            <w:pPr>
              <w:pStyle w:val="ListParagraph"/>
              <w:ind w:left="0"/>
              <w:rPr>
                <w:sz w:val="20"/>
                <w:szCs w:val="20"/>
              </w:rPr>
            </w:pPr>
            <w:r>
              <w:rPr>
                <w:sz w:val="20"/>
                <w:szCs w:val="20"/>
              </w:rPr>
              <w:t>33.3</w:t>
            </w:r>
          </w:p>
        </w:tc>
        <w:tc>
          <w:tcPr>
            <w:tcW w:w="1387" w:type="dxa"/>
          </w:tcPr>
          <w:p w:rsidR="002F1D78" w:rsidRPr="00692B88" w:rsidRDefault="002F1D78" w:rsidP="00692B88">
            <w:pPr>
              <w:pStyle w:val="ListParagraph"/>
              <w:ind w:left="0"/>
              <w:rPr>
                <w:sz w:val="20"/>
                <w:szCs w:val="20"/>
              </w:rPr>
            </w:pPr>
            <w:r>
              <w:rPr>
                <w:sz w:val="20"/>
                <w:szCs w:val="20"/>
              </w:rPr>
              <w:t>4</w:t>
            </w:r>
          </w:p>
        </w:tc>
        <w:tc>
          <w:tcPr>
            <w:tcW w:w="1380" w:type="dxa"/>
          </w:tcPr>
          <w:p w:rsidR="002F1D78" w:rsidRPr="00692B88" w:rsidRDefault="002F1D78" w:rsidP="00692B88">
            <w:pPr>
              <w:pStyle w:val="ListParagraph"/>
              <w:ind w:left="0"/>
              <w:rPr>
                <w:sz w:val="20"/>
                <w:szCs w:val="20"/>
              </w:rPr>
            </w:pPr>
            <w:r>
              <w:rPr>
                <w:sz w:val="20"/>
                <w:szCs w:val="20"/>
              </w:rPr>
              <w:t>33.8</w:t>
            </w:r>
          </w:p>
        </w:tc>
        <w:tc>
          <w:tcPr>
            <w:tcW w:w="1850" w:type="dxa"/>
          </w:tcPr>
          <w:p w:rsidR="002F1D78" w:rsidRPr="00692B88" w:rsidRDefault="002F1D78" w:rsidP="00692B88">
            <w:pPr>
              <w:pStyle w:val="ListParagraph"/>
              <w:ind w:left="0"/>
              <w:rPr>
                <w:sz w:val="20"/>
                <w:szCs w:val="20"/>
              </w:rPr>
            </w:pPr>
            <w:r>
              <w:rPr>
                <w:sz w:val="20"/>
                <w:szCs w:val="20"/>
              </w:rPr>
              <w:t>4</w:t>
            </w:r>
          </w:p>
        </w:tc>
        <w:tc>
          <w:tcPr>
            <w:tcW w:w="1980" w:type="dxa"/>
          </w:tcPr>
          <w:p w:rsidR="002F1D78" w:rsidRPr="00692B88" w:rsidRDefault="002F1D78" w:rsidP="00692B88">
            <w:pPr>
              <w:pStyle w:val="ListParagraph"/>
              <w:ind w:left="0"/>
              <w:rPr>
                <w:sz w:val="20"/>
                <w:szCs w:val="20"/>
              </w:rPr>
            </w:pPr>
            <w:r>
              <w:rPr>
                <w:sz w:val="20"/>
                <w:szCs w:val="20"/>
              </w:rPr>
              <w:t>37.8</w:t>
            </w:r>
          </w:p>
        </w:tc>
      </w:tr>
      <w:tr w:rsidR="002F1D78" w:rsidTr="007B72E7">
        <w:tc>
          <w:tcPr>
            <w:tcW w:w="1728" w:type="dxa"/>
          </w:tcPr>
          <w:p w:rsidR="002F1D78" w:rsidRPr="00692B88" w:rsidRDefault="002F1D78" w:rsidP="00692B88">
            <w:pPr>
              <w:pStyle w:val="ListParagraph"/>
              <w:ind w:left="0"/>
              <w:rPr>
                <w:sz w:val="20"/>
                <w:szCs w:val="20"/>
              </w:rPr>
            </w:pPr>
            <w:r>
              <w:rPr>
                <w:sz w:val="20"/>
                <w:szCs w:val="20"/>
              </w:rPr>
              <w:t>Gen. Service Salaries/Benefits</w:t>
            </w:r>
          </w:p>
        </w:tc>
        <w:tc>
          <w:tcPr>
            <w:tcW w:w="1233" w:type="dxa"/>
          </w:tcPr>
          <w:p w:rsidR="002F1D78" w:rsidRPr="00692B88" w:rsidRDefault="002F1D78" w:rsidP="00692B88">
            <w:pPr>
              <w:pStyle w:val="ListParagraph"/>
              <w:ind w:left="0"/>
              <w:rPr>
                <w:sz w:val="20"/>
                <w:szCs w:val="20"/>
              </w:rPr>
            </w:pPr>
            <w:r>
              <w:rPr>
                <w:sz w:val="20"/>
                <w:szCs w:val="20"/>
              </w:rPr>
              <w:t>25.2</w:t>
            </w:r>
          </w:p>
        </w:tc>
        <w:tc>
          <w:tcPr>
            <w:tcW w:w="1387" w:type="dxa"/>
          </w:tcPr>
          <w:p w:rsidR="002F1D78" w:rsidRPr="00692B88" w:rsidRDefault="002F1D78" w:rsidP="00692B88">
            <w:pPr>
              <w:pStyle w:val="ListParagraph"/>
              <w:ind w:left="0"/>
              <w:rPr>
                <w:sz w:val="20"/>
                <w:szCs w:val="20"/>
              </w:rPr>
            </w:pPr>
            <w:r>
              <w:rPr>
                <w:sz w:val="20"/>
                <w:szCs w:val="20"/>
              </w:rPr>
              <w:t>1.4</w:t>
            </w:r>
          </w:p>
        </w:tc>
        <w:tc>
          <w:tcPr>
            <w:tcW w:w="1380" w:type="dxa"/>
          </w:tcPr>
          <w:p w:rsidR="002F1D78" w:rsidRPr="00692B88" w:rsidRDefault="002F1D78" w:rsidP="00692B88">
            <w:pPr>
              <w:pStyle w:val="ListParagraph"/>
              <w:ind w:left="0"/>
              <w:rPr>
                <w:sz w:val="20"/>
                <w:szCs w:val="20"/>
              </w:rPr>
            </w:pPr>
            <w:r>
              <w:rPr>
                <w:sz w:val="20"/>
                <w:szCs w:val="20"/>
              </w:rPr>
              <w:t>26.5</w:t>
            </w:r>
          </w:p>
        </w:tc>
        <w:tc>
          <w:tcPr>
            <w:tcW w:w="1850" w:type="dxa"/>
          </w:tcPr>
          <w:p w:rsidR="002F1D78" w:rsidRPr="00692B88" w:rsidRDefault="002F1D78" w:rsidP="00692B88">
            <w:pPr>
              <w:pStyle w:val="ListParagraph"/>
              <w:ind w:left="0"/>
              <w:rPr>
                <w:sz w:val="20"/>
                <w:szCs w:val="20"/>
              </w:rPr>
            </w:pPr>
            <w:r>
              <w:rPr>
                <w:sz w:val="20"/>
                <w:szCs w:val="20"/>
              </w:rPr>
              <w:t>1.4</w:t>
            </w:r>
          </w:p>
        </w:tc>
        <w:tc>
          <w:tcPr>
            <w:tcW w:w="1980" w:type="dxa"/>
          </w:tcPr>
          <w:p w:rsidR="002F1D78" w:rsidRPr="00692B88" w:rsidRDefault="002F1D78" w:rsidP="00692B88">
            <w:pPr>
              <w:pStyle w:val="ListParagraph"/>
              <w:ind w:left="0"/>
              <w:rPr>
                <w:sz w:val="20"/>
                <w:szCs w:val="20"/>
              </w:rPr>
            </w:pPr>
            <w:r>
              <w:rPr>
                <w:sz w:val="20"/>
                <w:szCs w:val="20"/>
              </w:rPr>
              <w:t>27.9</w:t>
            </w:r>
          </w:p>
        </w:tc>
      </w:tr>
      <w:tr w:rsidR="002F1D78" w:rsidTr="007B72E7">
        <w:tc>
          <w:tcPr>
            <w:tcW w:w="1728" w:type="dxa"/>
            <w:tcBorders>
              <w:bottom w:val="single" w:sz="4" w:space="0" w:color="auto"/>
            </w:tcBorders>
          </w:tcPr>
          <w:p w:rsidR="002F1D78" w:rsidRPr="00692B88" w:rsidRDefault="002F1D78" w:rsidP="00692B88">
            <w:pPr>
              <w:pStyle w:val="ListParagraph"/>
              <w:ind w:left="0"/>
              <w:rPr>
                <w:sz w:val="20"/>
                <w:szCs w:val="20"/>
              </w:rPr>
            </w:pPr>
            <w:r>
              <w:rPr>
                <w:sz w:val="20"/>
                <w:szCs w:val="20"/>
              </w:rPr>
              <w:t>Hourly Wages</w:t>
            </w:r>
          </w:p>
        </w:tc>
        <w:tc>
          <w:tcPr>
            <w:tcW w:w="1233" w:type="dxa"/>
            <w:tcBorders>
              <w:bottom w:val="single" w:sz="4" w:space="0" w:color="auto"/>
            </w:tcBorders>
          </w:tcPr>
          <w:p w:rsidR="002F1D78" w:rsidRPr="00692B88" w:rsidRDefault="002F1D78" w:rsidP="00692B88">
            <w:pPr>
              <w:pStyle w:val="ListParagraph"/>
              <w:ind w:left="0"/>
              <w:rPr>
                <w:sz w:val="20"/>
                <w:szCs w:val="20"/>
              </w:rPr>
            </w:pPr>
            <w:r>
              <w:rPr>
                <w:sz w:val="20"/>
                <w:szCs w:val="20"/>
              </w:rPr>
              <w:t>1.7</w:t>
            </w:r>
          </w:p>
        </w:tc>
        <w:tc>
          <w:tcPr>
            <w:tcW w:w="1387" w:type="dxa"/>
            <w:tcBorders>
              <w:bottom w:val="single" w:sz="4" w:space="0" w:color="auto"/>
            </w:tcBorders>
          </w:tcPr>
          <w:p w:rsidR="002F1D78" w:rsidRPr="00692B88" w:rsidRDefault="002F1D78" w:rsidP="00692B88">
            <w:pPr>
              <w:pStyle w:val="ListParagraph"/>
              <w:ind w:left="0"/>
              <w:rPr>
                <w:sz w:val="20"/>
                <w:szCs w:val="20"/>
              </w:rPr>
            </w:pPr>
            <w:r>
              <w:rPr>
                <w:sz w:val="20"/>
                <w:szCs w:val="20"/>
              </w:rPr>
              <w:t>0.1</w:t>
            </w:r>
          </w:p>
        </w:tc>
        <w:tc>
          <w:tcPr>
            <w:tcW w:w="1380" w:type="dxa"/>
            <w:tcBorders>
              <w:bottom w:val="single" w:sz="4" w:space="0" w:color="auto"/>
            </w:tcBorders>
          </w:tcPr>
          <w:p w:rsidR="002F1D78" w:rsidRPr="00692B88" w:rsidRDefault="002F1D78" w:rsidP="00692B88">
            <w:pPr>
              <w:pStyle w:val="ListParagraph"/>
              <w:ind w:left="0"/>
              <w:rPr>
                <w:sz w:val="20"/>
                <w:szCs w:val="20"/>
              </w:rPr>
            </w:pPr>
            <w:r>
              <w:rPr>
                <w:sz w:val="20"/>
                <w:szCs w:val="20"/>
              </w:rPr>
              <w:t>1.8</w:t>
            </w:r>
          </w:p>
        </w:tc>
        <w:tc>
          <w:tcPr>
            <w:tcW w:w="1850" w:type="dxa"/>
            <w:tcBorders>
              <w:bottom w:val="single" w:sz="4" w:space="0" w:color="auto"/>
            </w:tcBorders>
          </w:tcPr>
          <w:p w:rsidR="002F1D78" w:rsidRPr="00692B88" w:rsidRDefault="002F1D78" w:rsidP="00692B88">
            <w:pPr>
              <w:pStyle w:val="ListParagraph"/>
              <w:ind w:left="0"/>
              <w:rPr>
                <w:sz w:val="20"/>
                <w:szCs w:val="20"/>
              </w:rPr>
            </w:pPr>
          </w:p>
        </w:tc>
        <w:tc>
          <w:tcPr>
            <w:tcW w:w="1980" w:type="dxa"/>
            <w:tcBorders>
              <w:bottom w:val="single" w:sz="4" w:space="0" w:color="auto"/>
            </w:tcBorders>
          </w:tcPr>
          <w:p w:rsidR="002F1D78" w:rsidRPr="00692B88" w:rsidRDefault="002F1D78" w:rsidP="00692B88">
            <w:pPr>
              <w:pStyle w:val="ListParagraph"/>
              <w:ind w:left="0"/>
              <w:rPr>
                <w:sz w:val="20"/>
                <w:szCs w:val="20"/>
              </w:rPr>
            </w:pPr>
            <w:r>
              <w:rPr>
                <w:sz w:val="20"/>
                <w:szCs w:val="20"/>
              </w:rPr>
              <w:t>1.8</w:t>
            </w:r>
          </w:p>
        </w:tc>
      </w:tr>
      <w:tr w:rsidR="002F1D78" w:rsidTr="007B72E7">
        <w:tc>
          <w:tcPr>
            <w:tcW w:w="1728" w:type="dxa"/>
            <w:shd w:val="clear" w:color="auto" w:fill="8DB3E2" w:themeFill="text2" w:themeFillTint="66"/>
          </w:tcPr>
          <w:p w:rsidR="002F1D78" w:rsidRPr="00692B88" w:rsidRDefault="002F1D78" w:rsidP="00692B88">
            <w:pPr>
              <w:pStyle w:val="ListParagraph"/>
              <w:ind w:left="0"/>
              <w:rPr>
                <w:sz w:val="20"/>
                <w:szCs w:val="20"/>
              </w:rPr>
            </w:pPr>
            <w:r>
              <w:rPr>
                <w:sz w:val="20"/>
                <w:szCs w:val="20"/>
              </w:rPr>
              <w:t>Total Sal/Ben</w:t>
            </w:r>
          </w:p>
        </w:tc>
        <w:tc>
          <w:tcPr>
            <w:tcW w:w="1233" w:type="dxa"/>
            <w:shd w:val="clear" w:color="auto" w:fill="8DB3E2" w:themeFill="text2" w:themeFillTint="66"/>
          </w:tcPr>
          <w:p w:rsidR="002F1D78" w:rsidRPr="00692B88" w:rsidRDefault="002F1D78" w:rsidP="00692B88">
            <w:pPr>
              <w:pStyle w:val="ListParagraph"/>
              <w:ind w:left="0"/>
              <w:rPr>
                <w:sz w:val="20"/>
                <w:szCs w:val="20"/>
              </w:rPr>
            </w:pPr>
            <w:r>
              <w:rPr>
                <w:sz w:val="20"/>
                <w:szCs w:val="20"/>
              </w:rPr>
              <w:t>135.9</w:t>
            </w:r>
          </w:p>
        </w:tc>
        <w:tc>
          <w:tcPr>
            <w:tcW w:w="1387" w:type="dxa"/>
            <w:shd w:val="clear" w:color="auto" w:fill="8DB3E2" w:themeFill="text2" w:themeFillTint="66"/>
          </w:tcPr>
          <w:p w:rsidR="002F1D78" w:rsidRPr="00692B88" w:rsidRDefault="002F1D78" w:rsidP="00692B88">
            <w:pPr>
              <w:pStyle w:val="ListParagraph"/>
              <w:ind w:left="0"/>
              <w:rPr>
                <w:sz w:val="20"/>
                <w:szCs w:val="20"/>
              </w:rPr>
            </w:pPr>
            <w:r>
              <w:rPr>
                <w:sz w:val="20"/>
                <w:szCs w:val="20"/>
              </w:rPr>
              <w:t>1.6</w:t>
            </w:r>
          </w:p>
        </w:tc>
        <w:tc>
          <w:tcPr>
            <w:tcW w:w="1380" w:type="dxa"/>
            <w:shd w:val="clear" w:color="auto" w:fill="8DB3E2" w:themeFill="text2" w:themeFillTint="66"/>
          </w:tcPr>
          <w:p w:rsidR="002F1D78" w:rsidRPr="00692B88" w:rsidRDefault="002F1D78" w:rsidP="00692B88">
            <w:pPr>
              <w:pStyle w:val="ListParagraph"/>
              <w:ind w:left="0"/>
              <w:rPr>
                <w:sz w:val="20"/>
                <w:szCs w:val="20"/>
              </w:rPr>
            </w:pPr>
            <w:r>
              <w:rPr>
                <w:sz w:val="20"/>
                <w:szCs w:val="20"/>
              </w:rPr>
              <w:t>137.5</w:t>
            </w:r>
          </w:p>
        </w:tc>
        <w:tc>
          <w:tcPr>
            <w:tcW w:w="1850" w:type="dxa"/>
            <w:shd w:val="clear" w:color="auto" w:fill="8DB3E2" w:themeFill="text2" w:themeFillTint="66"/>
          </w:tcPr>
          <w:p w:rsidR="002F1D78" w:rsidRPr="00692B88" w:rsidRDefault="002F1D78" w:rsidP="00692B88">
            <w:pPr>
              <w:pStyle w:val="ListParagraph"/>
              <w:ind w:left="0"/>
              <w:rPr>
                <w:sz w:val="20"/>
                <w:szCs w:val="20"/>
              </w:rPr>
            </w:pPr>
            <w:r>
              <w:rPr>
                <w:sz w:val="20"/>
                <w:szCs w:val="20"/>
              </w:rPr>
              <w:t>5.4</w:t>
            </w:r>
          </w:p>
        </w:tc>
        <w:tc>
          <w:tcPr>
            <w:tcW w:w="1980" w:type="dxa"/>
            <w:shd w:val="clear" w:color="auto" w:fill="8DB3E2" w:themeFill="text2" w:themeFillTint="66"/>
          </w:tcPr>
          <w:p w:rsidR="002F1D78" w:rsidRPr="00692B88" w:rsidRDefault="002F1D78" w:rsidP="00692B88">
            <w:pPr>
              <w:pStyle w:val="ListParagraph"/>
              <w:ind w:left="0"/>
              <w:rPr>
                <w:sz w:val="20"/>
                <w:szCs w:val="20"/>
              </w:rPr>
            </w:pPr>
            <w:r>
              <w:rPr>
                <w:sz w:val="20"/>
                <w:szCs w:val="20"/>
              </w:rPr>
              <w:t>142.9</w:t>
            </w:r>
          </w:p>
        </w:tc>
      </w:tr>
      <w:tr w:rsidR="002F1D78" w:rsidTr="007B72E7">
        <w:tc>
          <w:tcPr>
            <w:tcW w:w="1728" w:type="dxa"/>
          </w:tcPr>
          <w:p w:rsidR="002F1D78" w:rsidRPr="00692B88" w:rsidRDefault="002F1D78" w:rsidP="00692B88">
            <w:pPr>
              <w:pStyle w:val="ListParagraph"/>
              <w:ind w:left="0"/>
              <w:rPr>
                <w:sz w:val="20"/>
                <w:szCs w:val="20"/>
              </w:rPr>
            </w:pPr>
            <w:r>
              <w:rPr>
                <w:sz w:val="20"/>
                <w:szCs w:val="20"/>
              </w:rPr>
              <w:t>Supp. &amp; Services</w:t>
            </w:r>
          </w:p>
        </w:tc>
        <w:tc>
          <w:tcPr>
            <w:tcW w:w="1233" w:type="dxa"/>
          </w:tcPr>
          <w:p w:rsidR="002F1D78" w:rsidRPr="00692B88" w:rsidRDefault="002F1D78" w:rsidP="00692B88">
            <w:pPr>
              <w:pStyle w:val="ListParagraph"/>
              <w:ind w:left="0"/>
              <w:rPr>
                <w:sz w:val="20"/>
                <w:szCs w:val="20"/>
              </w:rPr>
            </w:pPr>
            <w:r>
              <w:rPr>
                <w:sz w:val="20"/>
                <w:szCs w:val="20"/>
              </w:rPr>
              <w:t>12.2</w:t>
            </w:r>
          </w:p>
        </w:tc>
        <w:tc>
          <w:tcPr>
            <w:tcW w:w="1387" w:type="dxa"/>
          </w:tcPr>
          <w:p w:rsidR="002F1D78" w:rsidRPr="00D8226E" w:rsidRDefault="002F1D78" w:rsidP="00692B88">
            <w:pPr>
              <w:pStyle w:val="ListParagraph"/>
              <w:ind w:left="0"/>
              <w:rPr>
                <w:color w:val="FF0000"/>
                <w:sz w:val="20"/>
                <w:szCs w:val="20"/>
              </w:rPr>
            </w:pPr>
            <w:r w:rsidRPr="00D8226E">
              <w:rPr>
                <w:color w:val="FF0000"/>
                <w:sz w:val="20"/>
                <w:szCs w:val="20"/>
              </w:rPr>
              <w:t>-4</w:t>
            </w:r>
          </w:p>
        </w:tc>
        <w:tc>
          <w:tcPr>
            <w:tcW w:w="1380" w:type="dxa"/>
          </w:tcPr>
          <w:p w:rsidR="002F1D78" w:rsidRPr="00692B88" w:rsidRDefault="002F1D78" w:rsidP="00692B88">
            <w:pPr>
              <w:pStyle w:val="ListParagraph"/>
              <w:ind w:left="0"/>
              <w:rPr>
                <w:sz w:val="20"/>
                <w:szCs w:val="20"/>
              </w:rPr>
            </w:pPr>
            <w:r>
              <w:rPr>
                <w:sz w:val="20"/>
                <w:szCs w:val="20"/>
              </w:rPr>
              <w:t>8.2</w:t>
            </w:r>
          </w:p>
        </w:tc>
        <w:tc>
          <w:tcPr>
            <w:tcW w:w="1850" w:type="dxa"/>
          </w:tcPr>
          <w:p w:rsidR="002F1D78" w:rsidRPr="00692B88" w:rsidRDefault="002F1D78" w:rsidP="00692B88">
            <w:pPr>
              <w:pStyle w:val="ListParagraph"/>
              <w:ind w:left="0"/>
              <w:rPr>
                <w:sz w:val="20"/>
                <w:szCs w:val="20"/>
              </w:rPr>
            </w:pPr>
          </w:p>
        </w:tc>
        <w:tc>
          <w:tcPr>
            <w:tcW w:w="1980" w:type="dxa"/>
          </w:tcPr>
          <w:p w:rsidR="002F1D78" w:rsidRPr="00692B88" w:rsidRDefault="002F1D78" w:rsidP="000C0DA0">
            <w:pPr>
              <w:pStyle w:val="ListParagraph"/>
              <w:ind w:left="0"/>
              <w:rPr>
                <w:sz w:val="20"/>
                <w:szCs w:val="20"/>
              </w:rPr>
            </w:pPr>
            <w:r>
              <w:rPr>
                <w:sz w:val="20"/>
                <w:szCs w:val="20"/>
              </w:rPr>
              <w:t>8.2</w:t>
            </w:r>
          </w:p>
        </w:tc>
      </w:tr>
      <w:tr w:rsidR="002F1D78" w:rsidTr="007B72E7">
        <w:tc>
          <w:tcPr>
            <w:tcW w:w="1728" w:type="dxa"/>
          </w:tcPr>
          <w:p w:rsidR="002F1D78" w:rsidRPr="00692B88" w:rsidRDefault="002F1D78" w:rsidP="00692B88">
            <w:pPr>
              <w:pStyle w:val="ListParagraph"/>
              <w:ind w:left="0"/>
              <w:rPr>
                <w:sz w:val="20"/>
                <w:szCs w:val="20"/>
              </w:rPr>
            </w:pPr>
            <w:r>
              <w:rPr>
                <w:sz w:val="20"/>
                <w:szCs w:val="20"/>
              </w:rPr>
              <w:t xml:space="preserve">Library </w:t>
            </w:r>
            <w:proofErr w:type="spellStart"/>
            <w:r>
              <w:rPr>
                <w:sz w:val="20"/>
                <w:szCs w:val="20"/>
              </w:rPr>
              <w:t>Acq</w:t>
            </w:r>
            <w:proofErr w:type="spellEnd"/>
          </w:p>
        </w:tc>
        <w:tc>
          <w:tcPr>
            <w:tcW w:w="1233" w:type="dxa"/>
          </w:tcPr>
          <w:p w:rsidR="002F1D78" w:rsidRPr="00692B88" w:rsidRDefault="002F1D78" w:rsidP="00692B88">
            <w:pPr>
              <w:pStyle w:val="ListParagraph"/>
              <w:ind w:left="0"/>
              <w:rPr>
                <w:sz w:val="20"/>
                <w:szCs w:val="20"/>
              </w:rPr>
            </w:pPr>
            <w:r>
              <w:rPr>
                <w:sz w:val="20"/>
                <w:szCs w:val="20"/>
              </w:rPr>
              <w:t>2</w:t>
            </w:r>
          </w:p>
        </w:tc>
        <w:tc>
          <w:tcPr>
            <w:tcW w:w="1387" w:type="dxa"/>
          </w:tcPr>
          <w:p w:rsidR="002F1D78" w:rsidRPr="00692B88" w:rsidRDefault="002F1D78" w:rsidP="00692B88">
            <w:pPr>
              <w:pStyle w:val="ListParagraph"/>
              <w:ind w:left="0"/>
              <w:rPr>
                <w:sz w:val="20"/>
                <w:szCs w:val="20"/>
              </w:rPr>
            </w:pPr>
          </w:p>
        </w:tc>
        <w:tc>
          <w:tcPr>
            <w:tcW w:w="1380" w:type="dxa"/>
          </w:tcPr>
          <w:p w:rsidR="002F1D78" w:rsidRPr="00692B88" w:rsidRDefault="002F1D78" w:rsidP="00692B88">
            <w:pPr>
              <w:pStyle w:val="ListParagraph"/>
              <w:ind w:left="0"/>
              <w:rPr>
                <w:sz w:val="20"/>
                <w:szCs w:val="20"/>
              </w:rPr>
            </w:pPr>
            <w:r>
              <w:rPr>
                <w:sz w:val="20"/>
                <w:szCs w:val="20"/>
              </w:rPr>
              <w:t>2</w:t>
            </w:r>
          </w:p>
        </w:tc>
        <w:tc>
          <w:tcPr>
            <w:tcW w:w="1850" w:type="dxa"/>
          </w:tcPr>
          <w:p w:rsidR="002F1D78" w:rsidRPr="00692B88" w:rsidRDefault="002F1D78" w:rsidP="00692B88">
            <w:pPr>
              <w:pStyle w:val="ListParagraph"/>
              <w:ind w:left="0"/>
              <w:rPr>
                <w:sz w:val="20"/>
                <w:szCs w:val="20"/>
              </w:rPr>
            </w:pPr>
          </w:p>
        </w:tc>
        <w:tc>
          <w:tcPr>
            <w:tcW w:w="1980" w:type="dxa"/>
          </w:tcPr>
          <w:p w:rsidR="002F1D78" w:rsidRPr="00692B88" w:rsidRDefault="002F1D78" w:rsidP="000C0DA0">
            <w:pPr>
              <w:pStyle w:val="ListParagraph"/>
              <w:ind w:left="0"/>
              <w:rPr>
                <w:sz w:val="20"/>
                <w:szCs w:val="20"/>
              </w:rPr>
            </w:pPr>
            <w:r>
              <w:rPr>
                <w:sz w:val="20"/>
                <w:szCs w:val="20"/>
              </w:rPr>
              <w:t>2</w:t>
            </w:r>
          </w:p>
        </w:tc>
      </w:tr>
      <w:tr w:rsidR="002F1D78" w:rsidTr="007B72E7">
        <w:tc>
          <w:tcPr>
            <w:tcW w:w="1728" w:type="dxa"/>
          </w:tcPr>
          <w:p w:rsidR="002F1D78" w:rsidRPr="00692B88" w:rsidRDefault="002F1D78" w:rsidP="00692B88">
            <w:pPr>
              <w:pStyle w:val="ListParagraph"/>
              <w:ind w:left="0"/>
              <w:rPr>
                <w:sz w:val="20"/>
                <w:szCs w:val="20"/>
              </w:rPr>
            </w:pPr>
            <w:r>
              <w:rPr>
                <w:sz w:val="20"/>
                <w:szCs w:val="20"/>
              </w:rPr>
              <w:t>Rentals</w:t>
            </w:r>
          </w:p>
        </w:tc>
        <w:tc>
          <w:tcPr>
            <w:tcW w:w="1233" w:type="dxa"/>
          </w:tcPr>
          <w:p w:rsidR="002F1D78" w:rsidRPr="00692B88" w:rsidRDefault="002F1D78" w:rsidP="00692B88">
            <w:pPr>
              <w:pStyle w:val="ListParagraph"/>
              <w:ind w:left="0"/>
              <w:rPr>
                <w:sz w:val="20"/>
                <w:szCs w:val="20"/>
              </w:rPr>
            </w:pPr>
            <w:r>
              <w:rPr>
                <w:sz w:val="20"/>
                <w:szCs w:val="20"/>
              </w:rPr>
              <w:t>0.8</w:t>
            </w:r>
          </w:p>
        </w:tc>
        <w:tc>
          <w:tcPr>
            <w:tcW w:w="1387" w:type="dxa"/>
          </w:tcPr>
          <w:p w:rsidR="002F1D78" w:rsidRPr="00692B88" w:rsidRDefault="002F1D78" w:rsidP="00692B88">
            <w:pPr>
              <w:pStyle w:val="ListParagraph"/>
              <w:ind w:left="0"/>
              <w:rPr>
                <w:sz w:val="20"/>
                <w:szCs w:val="20"/>
              </w:rPr>
            </w:pPr>
          </w:p>
        </w:tc>
        <w:tc>
          <w:tcPr>
            <w:tcW w:w="1380" w:type="dxa"/>
          </w:tcPr>
          <w:p w:rsidR="002F1D78" w:rsidRPr="00692B88" w:rsidRDefault="002F1D78" w:rsidP="00692B88">
            <w:pPr>
              <w:pStyle w:val="ListParagraph"/>
              <w:ind w:left="0"/>
              <w:rPr>
                <w:sz w:val="20"/>
                <w:szCs w:val="20"/>
              </w:rPr>
            </w:pPr>
            <w:r>
              <w:rPr>
                <w:sz w:val="20"/>
                <w:szCs w:val="20"/>
              </w:rPr>
              <w:t>0.8</w:t>
            </w:r>
          </w:p>
        </w:tc>
        <w:tc>
          <w:tcPr>
            <w:tcW w:w="1850" w:type="dxa"/>
          </w:tcPr>
          <w:p w:rsidR="002F1D78" w:rsidRPr="00692B88" w:rsidRDefault="002F1D78" w:rsidP="00692B88">
            <w:pPr>
              <w:pStyle w:val="ListParagraph"/>
              <w:ind w:left="0"/>
              <w:rPr>
                <w:sz w:val="20"/>
                <w:szCs w:val="20"/>
              </w:rPr>
            </w:pPr>
          </w:p>
        </w:tc>
        <w:tc>
          <w:tcPr>
            <w:tcW w:w="1980" w:type="dxa"/>
          </w:tcPr>
          <w:p w:rsidR="002F1D78" w:rsidRPr="00692B88" w:rsidRDefault="002F1D78" w:rsidP="000C0DA0">
            <w:pPr>
              <w:pStyle w:val="ListParagraph"/>
              <w:ind w:left="0"/>
              <w:rPr>
                <w:sz w:val="20"/>
                <w:szCs w:val="20"/>
              </w:rPr>
            </w:pPr>
            <w:r>
              <w:rPr>
                <w:sz w:val="20"/>
                <w:szCs w:val="20"/>
              </w:rPr>
              <w:t>0.8</w:t>
            </w:r>
          </w:p>
        </w:tc>
      </w:tr>
      <w:tr w:rsidR="002F1D78" w:rsidTr="007B72E7">
        <w:tc>
          <w:tcPr>
            <w:tcW w:w="1728" w:type="dxa"/>
          </w:tcPr>
          <w:p w:rsidR="002F1D78" w:rsidRPr="00692B88" w:rsidRDefault="002F1D78" w:rsidP="00692B88">
            <w:pPr>
              <w:pStyle w:val="ListParagraph"/>
              <w:ind w:left="0"/>
              <w:rPr>
                <w:sz w:val="20"/>
                <w:szCs w:val="20"/>
              </w:rPr>
            </w:pPr>
            <w:r>
              <w:rPr>
                <w:sz w:val="20"/>
                <w:szCs w:val="20"/>
              </w:rPr>
              <w:t>Utilities</w:t>
            </w:r>
          </w:p>
        </w:tc>
        <w:tc>
          <w:tcPr>
            <w:tcW w:w="1233" w:type="dxa"/>
          </w:tcPr>
          <w:p w:rsidR="002F1D78" w:rsidRPr="00692B88" w:rsidRDefault="002F1D78" w:rsidP="00692B88">
            <w:pPr>
              <w:pStyle w:val="ListParagraph"/>
              <w:ind w:left="0"/>
              <w:rPr>
                <w:sz w:val="20"/>
                <w:szCs w:val="20"/>
              </w:rPr>
            </w:pPr>
            <w:r>
              <w:rPr>
                <w:sz w:val="20"/>
                <w:szCs w:val="20"/>
              </w:rPr>
              <w:t>5.8</w:t>
            </w:r>
          </w:p>
        </w:tc>
        <w:tc>
          <w:tcPr>
            <w:tcW w:w="1387" w:type="dxa"/>
          </w:tcPr>
          <w:p w:rsidR="002F1D78" w:rsidRPr="00692B88" w:rsidRDefault="002F1D78" w:rsidP="00692B88">
            <w:pPr>
              <w:pStyle w:val="ListParagraph"/>
              <w:ind w:left="0"/>
              <w:rPr>
                <w:sz w:val="20"/>
                <w:szCs w:val="20"/>
              </w:rPr>
            </w:pPr>
            <w:r>
              <w:rPr>
                <w:sz w:val="20"/>
                <w:szCs w:val="20"/>
              </w:rPr>
              <w:t>0.4</w:t>
            </w:r>
          </w:p>
        </w:tc>
        <w:tc>
          <w:tcPr>
            <w:tcW w:w="1380" w:type="dxa"/>
          </w:tcPr>
          <w:p w:rsidR="002F1D78" w:rsidRPr="00692B88" w:rsidRDefault="002F1D78" w:rsidP="00692B88">
            <w:pPr>
              <w:pStyle w:val="ListParagraph"/>
              <w:ind w:left="0"/>
              <w:rPr>
                <w:sz w:val="20"/>
                <w:szCs w:val="20"/>
              </w:rPr>
            </w:pPr>
            <w:r>
              <w:rPr>
                <w:sz w:val="20"/>
                <w:szCs w:val="20"/>
              </w:rPr>
              <w:t>6.2</w:t>
            </w:r>
          </w:p>
        </w:tc>
        <w:tc>
          <w:tcPr>
            <w:tcW w:w="1850" w:type="dxa"/>
          </w:tcPr>
          <w:p w:rsidR="002F1D78" w:rsidRPr="00692B88" w:rsidRDefault="002F1D78" w:rsidP="00692B88">
            <w:pPr>
              <w:pStyle w:val="ListParagraph"/>
              <w:ind w:left="0"/>
              <w:rPr>
                <w:sz w:val="20"/>
                <w:szCs w:val="20"/>
              </w:rPr>
            </w:pPr>
          </w:p>
        </w:tc>
        <w:tc>
          <w:tcPr>
            <w:tcW w:w="1980" w:type="dxa"/>
          </w:tcPr>
          <w:p w:rsidR="002F1D78" w:rsidRPr="00692B88" w:rsidRDefault="002F1D78" w:rsidP="000C0DA0">
            <w:pPr>
              <w:pStyle w:val="ListParagraph"/>
              <w:ind w:left="0"/>
              <w:rPr>
                <w:sz w:val="20"/>
                <w:szCs w:val="20"/>
              </w:rPr>
            </w:pPr>
            <w:r>
              <w:rPr>
                <w:sz w:val="20"/>
                <w:szCs w:val="20"/>
              </w:rPr>
              <w:t>6.2</w:t>
            </w:r>
          </w:p>
        </w:tc>
      </w:tr>
      <w:tr w:rsidR="002F1D78" w:rsidTr="007B72E7">
        <w:tc>
          <w:tcPr>
            <w:tcW w:w="1728" w:type="dxa"/>
          </w:tcPr>
          <w:p w:rsidR="002F1D78" w:rsidRPr="00692B88" w:rsidRDefault="002F1D78" w:rsidP="00692B88">
            <w:pPr>
              <w:pStyle w:val="ListParagraph"/>
              <w:ind w:left="0"/>
              <w:rPr>
                <w:sz w:val="20"/>
                <w:szCs w:val="20"/>
              </w:rPr>
            </w:pPr>
            <w:r>
              <w:rPr>
                <w:sz w:val="20"/>
                <w:szCs w:val="20"/>
              </w:rPr>
              <w:t>Bldg. Repairs</w:t>
            </w:r>
          </w:p>
        </w:tc>
        <w:tc>
          <w:tcPr>
            <w:tcW w:w="1233" w:type="dxa"/>
          </w:tcPr>
          <w:p w:rsidR="002F1D78" w:rsidRPr="00692B88" w:rsidRDefault="002F1D78" w:rsidP="00692B88">
            <w:pPr>
              <w:pStyle w:val="ListParagraph"/>
              <w:ind w:left="0"/>
              <w:rPr>
                <w:sz w:val="20"/>
                <w:szCs w:val="20"/>
              </w:rPr>
            </w:pPr>
            <w:r>
              <w:rPr>
                <w:sz w:val="20"/>
                <w:szCs w:val="20"/>
              </w:rPr>
              <w:t>1.4</w:t>
            </w:r>
          </w:p>
        </w:tc>
        <w:tc>
          <w:tcPr>
            <w:tcW w:w="1387" w:type="dxa"/>
          </w:tcPr>
          <w:p w:rsidR="002F1D78" w:rsidRPr="00692B88" w:rsidRDefault="002F1D78" w:rsidP="00692B88">
            <w:pPr>
              <w:pStyle w:val="ListParagraph"/>
              <w:ind w:left="0"/>
              <w:rPr>
                <w:sz w:val="20"/>
                <w:szCs w:val="20"/>
              </w:rPr>
            </w:pPr>
          </w:p>
        </w:tc>
        <w:tc>
          <w:tcPr>
            <w:tcW w:w="1380" w:type="dxa"/>
          </w:tcPr>
          <w:p w:rsidR="002F1D78" w:rsidRPr="00692B88" w:rsidRDefault="002F1D78" w:rsidP="00692B88">
            <w:pPr>
              <w:pStyle w:val="ListParagraph"/>
              <w:ind w:left="0"/>
              <w:rPr>
                <w:sz w:val="20"/>
                <w:szCs w:val="20"/>
              </w:rPr>
            </w:pPr>
            <w:r>
              <w:rPr>
                <w:sz w:val="20"/>
                <w:szCs w:val="20"/>
              </w:rPr>
              <w:t>1.4</w:t>
            </w:r>
          </w:p>
        </w:tc>
        <w:tc>
          <w:tcPr>
            <w:tcW w:w="1850" w:type="dxa"/>
          </w:tcPr>
          <w:p w:rsidR="002F1D78" w:rsidRPr="00692B88" w:rsidRDefault="002F1D78" w:rsidP="00692B88">
            <w:pPr>
              <w:pStyle w:val="ListParagraph"/>
              <w:ind w:left="0"/>
              <w:rPr>
                <w:sz w:val="20"/>
                <w:szCs w:val="20"/>
              </w:rPr>
            </w:pPr>
          </w:p>
        </w:tc>
        <w:tc>
          <w:tcPr>
            <w:tcW w:w="1980" w:type="dxa"/>
          </w:tcPr>
          <w:p w:rsidR="002F1D78" w:rsidRPr="00692B88" w:rsidRDefault="002F1D78" w:rsidP="000C0DA0">
            <w:pPr>
              <w:pStyle w:val="ListParagraph"/>
              <w:ind w:left="0"/>
              <w:rPr>
                <w:sz w:val="20"/>
                <w:szCs w:val="20"/>
              </w:rPr>
            </w:pPr>
            <w:r>
              <w:rPr>
                <w:sz w:val="20"/>
                <w:szCs w:val="20"/>
              </w:rPr>
              <w:t>1.4</w:t>
            </w:r>
          </w:p>
        </w:tc>
      </w:tr>
      <w:tr w:rsidR="002F1D78" w:rsidTr="007B72E7">
        <w:tc>
          <w:tcPr>
            <w:tcW w:w="1728" w:type="dxa"/>
          </w:tcPr>
          <w:p w:rsidR="002F1D78" w:rsidRPr="00692B88" w:rsidRDefault="002F1D78" w:rsidP="00692B88">
            <w:pPr>
              <w:pStyle w:val="ListParagraph"/>
              <w:ind w:left="0"/>
              <w:rPr>
                <w:sz w:val="20"/>
                <w:szCs w:val="20"/>
              </w:rPr>
            </w:pPr>
            <w:r>
              <w:rPr>
                <w:sz w:val="20"/>
                <w:szCs w:val="20"/>
              </w:rPr>
              <w:t xml:space="preserve">Auditor </w:t>
            </w:r>
            <w:proofErr w:type="spellStart"/>
            <w:r>
              <w:rPr>
                <w:sz w:val="20"/>
                <w:szCs w:val="20"/>
              </w:rPr>
              <w:t>Reimb</w:t>
            </w:r>
            <w:proofErr w:type="spellEnd"/>
          </w:p>
        </w:tc>
        <w:tc>
          <w:tcPr>
            <w:tcW w:w="1233" w:type="dxa"/>
          </w:tcPr>
          <w:p w:rsidR="002F1D78" w:rsidRPr="00692B88" w:rsidRDefault="002F1D78" w:rsidP="00692B88">
            <w:pPr>
              <w:pStyle w:val="ListParagraph"/>
              <w:ind w:left="0"/>
              <w:rPr>
                <w:sz w:val="20"/>
                <w:szCs w:val="20"/>
              </w:rPr>
            </w:pPr>
            <w:r>
              <w:rPr>
                <w:sz w:val="20"/>
                <w:szCs w:val="20"/>
              </w:rPr>
              <w:t>0.3</w:t>
            </w:r>
          </w:p>
        </w:tc>
        <w:tc>
          <w:tcPr>
            <w:tcW w:w="1387" w:type="dxa"/>
          </w:tcPr>
          <w:p w:rsidR="002F1D78" w:rsidRPr="00692B88" w:rsidRDefault="002F1D78" w:rsidP="00692B88">
            <w:pPr>
              <w:pStyle w:val="ListParagraph"/>
              <w:ind w:left="0"/>
              <w:rPr>
                <w:sz w:val="20"/>
                <w:szCs w:val="20"/>
              </w:rPr>
            </w:pPr>
          </w:p>
        </w:tc>
        <w:tc>
          <w:tcPr>
            <w:tcW w:w="1380" w:type="dxa"/>
          </w:tcPr>
          <w:p w:rsidR="002F1D78" w:rsidRPr="00692B88" w:rsidRDefault="002F1D78" w:rsidP="00692B88">
            <w:pPr>
              <w:pStyle w:val="ListParagraph"/>
              <w:ind w:left="0"/>
              <w:rPr>
                <w:sz w:val="20"/>
                <w:szCs w:val="20"/>
              </w:rPr>
            </w:pPr>
            <w:r>
              <w:rPr>
                <w:sz w:val="20"/>
                <w:szCs w:val="20"/>
              </w:rPr>
              <w:t>0.3</w:t>
            </w:r>
          </w:p>
        </w:tc>
        <w:tc>
          <w:tcPr>
            <w:tcW w:w="1850" w:type="dxa"/>
          </w:tcPr>
          <w:p w:rsidR="002F1D78" w:rsidRPr="00692B88" w:rsidRDefault="002F1D78" w:rsidP="00692B88">
            <w:pPr>
              <w:pStyle w:val="ListParagraph"/>
              <w:ind w:left="0"/>
              <w:rPr>
                <w:sz w:val="20"/>
                <w:szCs w:val="20"/>
              </w:rPr>
            </w:pPr>
          </w:p>
        </w:tc>
        <w:tc>
          <w:tcPr>
            <w:tcW w:w="1980" w:type="dxa"/>
          </w:tcPr>
          <w:p w:rsidR="002F1D78" w:rsidRPr="00692B88" w:rsidRDefault="002F1D78" w:rsidP="000C0DA0">
            <w:pPr>
              <w:pStyle w:val="ListParagraph"/>
              <w:ind w:left="0"/>
              <w:rPr>
                <w:sz w:val="20"/>
                <w:szCs w:val="20"/>
              </w:rPr>
            </w:pPr>
            <w:r>
              <w:rPr>
                <w:sz w:val="20"/>
                <w:szCs w:val="20"/>
              </w:rPr>
              <w:t>0.3</w:t>
            </w:r>
          </w:p>
        </w:tc>
      </w:tr>
      <w:tr w:rsidR="002F1D78" w:rsidTr="007B72E7">
        <w:tc>
          <w:tcPr>
            <w:tcW w:w="1728" w:type="dxa"/>
          </w:tcPr>
          <w:p w:rsidR="002F1D78" w:rsidRPr="00692B88" w:rsidRDefault="002F1D78" w:rsidP="00692B88">
            <w:pPr>
              <w:pStyle w:val="ListParagraph"/>
              <w:ind w:left="0"/>
              <w:rPr>
                <w:sz w:val="20"/>
                <w:szCs w:val="20"/>
              </w:rPr>
            </w:pPr>
            <w:r>
              <w:rPr>
                <w:sz w:val="20"/>
                <w:szCs w:val="20"/>
              </w:rPr>
              <w:t>Equipment</w:t>
            </w:r>
          </w:p>
        </w:tc>
        <w:tc>
          <w:tcPr>
            <w:tcW w:w="1233" w:type="dxa"/>
          </w:tcPr>
          <w:p w:rsidR="002F1D78" w:rsidRPr="00692B88" w:rsidRDefault="002F1D78" w:rsidP="00692B88">
            <w:pPr>
              <w:pStyle w:val="ListParagraph"/>
              <w:ind w:left="0"/>
              <w:rPr>
                <w:sz w:val="20"/>
                <w:szCs w:val="20"/>
              </w:rPr>
            </w:pPr>
            <w:r>
              <w:rPr>
                <w:sz w:val="20"/>
                <w:szCs w:val="20"/>
              </w:rPr>
              <w:t>0.5</w:t>
            </w:r>
          </w:p>
        </w:tc>
        <w:tc>
          <w:tcPr>
            <w:tcW w:w="1387" w:type="dxa"/>
          </w:tcPr>
          <w:p w:rsidR="002F1D78" w:rsidRPr="00692B88" w:rsidRDefault="002F1D78" w:rsidP="00692B88">
            <w:pPr>
              <w:pStyle w:val="ListParagraph"/>
              <w:ind w:left="0"/>
              <w:rPr>
                <w:sz w:val="20"/>
                <w:szCs w:val="20"/>
              </w:rPr>
            </w:pPr>
          </w:p>
        </w:tc>
        <w:tc>
          <w:tcPr>
            <w:tcW w:w="1380" w:type="dxa"/>
          </w:tcPr>
          <w:p w:rsidR="002F1D78" w:rsidRPr="00692B88" w:rsidRDefault="002F1D78" w:rsidP="00692B88">
            <w:pPr>
              <w:pStyle w:val="ListParagraph"/>
              <w:ind w:left="0"/>
              <w:rPr>
                <w:sz w:val="20"/>
                <w:szCs w:val="20"/>
              </w:rPr>
            </w:pPr>
            <w:r>
              <w:rPr>
                <w:sz w:val="20"/>
                <w:szCs w:val="20"/>
              </w:rPr>
              <w:t>0.5</w:t>
            </w:r>
          </w:p>
        </w:tc>
        <w:tc>
          <w:tcPr>
            <w:tcW w:w="1850" w:type="dxa"/>
          </w:tcPr>
          <w:p w:rsidR="002F1D78" w:rsidRPr="00692B88" w:rsidRDefault="002F1D78" w:rsidP="00692B88">
            <w:pPr>
              <w:pStyle w:val="ListParagraph"/>
              <w:ind w:left="0"/>
              <w:rPr>
                <w:sz w:val="20"/>
                <w:szCs w:val="20"/>
              </w:rPr>
            </w:pPr>
          </w:p>
        </w:tc>
        <w:tc>
          <w:tcPr>
            <w:tcW w:w="1980" w:type="dxa"/>
          </w:tcPr>
          <w:p w:rsidR="002F1D78" w:rsidRPr="00692B88" w:rsidRDefault="002F1D78" w:rsidP="000C0DA0">
            <w:pPr>
              <w:pStyle w:val="ListParagraph"/>
              <w:ind w:left="0"/>
              <w:rPr>
                <w:sz w:val="20"/>
                <w:szCs w:val="20"/>
              </w:rPr>
            </w:pPr>
            <w:r>
              <w:rPr>
                <w:sz w:val="20"/>
                <w:szCs w:val="20"/>
              </w:rPr>
              <w:t>0.5</w:t>
            </w:r>
          </w:p>
        </w:tc>
      </w:tr>
      <w:tr w:rsidR="002F1D78" w:rsidTr="007B72E7">
        <w:tc>
          <w:tcPr>
            <w:tcW w:w="1728" w:type="dxa"/>
            <w:tcBorders>
              <w:bottom w:val="single" w:sz="4" w:space="0" w:color="auto"/>
            </w:tcBorders>
          </w:tcPr>
          <w:p w:rsidR="002F1D78" w:rsidRPr="00692B88" w:rsidRDefault="002F1D78" w:rsidP="00692B88">
            <w:pPr>
              <w:pStyle w:val="ListParagraph"/>
              <w:ind w:left="0"/>
              <w:rPr>
                <w:sz w:val="20"/>
                <w:szCs w:val="20"/>
              </w:rPr>
            </w:pPr>
            <w:r>
              <w:rPr>
                <w:sz w:val="20"/>
                <w:szCs w:val="20"/>
              </w:rPr>
              <w:t>Student Aid</w:t>
            </w:r>
          </w:p>
        </w:tc>
        <w:tc>
          <w:tcPr>
            <w:tcW w:w="1233" w:type="dxa"/>
            <w:tcBorders>
              <w:bottom w:val="single" w:sz="4" w:space="0" w:color="auto"/>
            </w:tcBorders>
          </w:tcPr>
          <w:p w:rsidR="002F1D78" w:rsidRPr="00692B88" w:rsidRDefault="002F1D78" w:rsidP="00692B88">
            <w:pPr>
              <w:pStyle w:val="ListParagraph"/>
              <w:ind w:left="0"/>
              <w:rPr>
                <w:sz w:val="20"/>
                <w:szCs w:val="20"/>
              </w:rPr>
            </w:pPr>
            <w:r>
              <w:rPr>
                <w:sz w:val="20"/>
                <w:szCs w:val="20"/>
              </w:rPr>
              <w:t>13.7</w:t>
            </w:r>
          </w:p>
        </w:tc>
        <w:tc>
          <w:tcPr>
            <w:tcW w:w="1387" w:type="dxa"/>
            <w:tcBorders>
              <w:bottom w:val="single" w:sz="4" w:space="0" w:color="auto"/>
            </w:tcBorders>
          </w:tcPr>
          <w:p w:rsidR="002F1D78" w:rsidRPr="00692B88" w:rsidRDefault="002F1D78" w:rsidP="00692B88">
            <w:pPr>
              <w:pStyle w:val="ListParagraph"/>
              <w:ind w:left="0"/>
              <w:rPr>
                <w:sz w:val="20"/>
                <w:szCs w:val="20"/>
              </w:rPr>
            </w:pPr>
            <w:r>
              <w:rPr>
                <w:sz w:val="20"/>
                <w:szCs w:val="20"/>
              </w:rPr>
              <w:t>0.6</w:t>
            </w:r>
          </w:p>
        </w:tc>
        <w:tc>
          <w:tcPr>
            <w:tcW w:w="1380" w:type="dxa"/>
            <w:tcBorders>
              <w:bottom w:val="single" w:sz="4" w:space="0" w:color="auto"/>
            </w:tcBorders>
          </w:tcPr>
          <w:p w:rsidR="002F1D78" w:rsidRPr="00692B88" w:rsidRDefault="002F1D78" w:rsidP="00692B88">
            <w:pPr>
              <w:pStyle w:val="ListParagraph"/>
              <w:ind w:left="0"/>
              <w:rPr>
                <w:sz w:val="20"/>
                <w:szCs w:val="20"/>
              </w:rPr>
            </w:pPr>
            <w:r>
              <w:rPr>
                <w:sz w:val="20"/>
                <w:szCs w:val="20"/>
              </w:rPr>
              <w:t>14.3</w:t>
            </w:r>
          </w:p>
        </w:tc>
        <w:tc>
          <w:tcPr>
            <w:tcW w:w="1850" w:type="dxa"/>
            <w:tcBorders>
              <w:bottom w:val="single" w:sz="4" w:space="0" w:color="auto"/>
            </w:tcBorders>
          </w:tcPr>
          <w:p w:rsidR="002F1D78" w:rsidRPr="00692B88" w:rsidRDefault="002F1D78" w:rsidP="00692B88">
            <w:pPr>
              <w:pStyle w:val="ListParagraph"/>
              <w:ind w:left="0"/>
              <w:rPr>
                <w:sz w:val="20"/>
                <w:szCs w:val="20"/>
              </w:rPr>
            </w:pPr>
          </w:p>
        </w:tc>
        <w:tc>
          <w:tcPr>
            <w:tcW w:w="1980" w:type="dxa"/>
            <w:tcBorders>
              <w:bottom w:val="single" w:sz="4" w:space="0" w:color="auto"/>
            </w:tcBorders>
          </w:tcPr>
          <w:p w:rsidR="002F1D78" w:rsidRPr="00692B88" w:rsidRDefault="002F1D78" w:rsidP="000C0DA0">
            <w:pPr>
              <w:pStyle w:val="ListParagraph"/>
              <w:ind w:left="0"/>
              <w:rPr>
                <w:sz w:val="20"/>
                <w:szCs w:val="20"/>
              </w:rPr>
            </w:pPr>
            <w:r>
              <w:rPr>
                <w:sz w:val="20"/>
                <w:szCs w:val="20"/>
              </w:rPr>
              <w:t>14.3</w:t>
            </w:r>
          </w:p>
        </w:tc>
      </w:tr>
      <w:tr w:rsidR="002F1D78" w:rsidTr="007B72E7">
        <w:tc>
          <w:tcPr>
            <w:tcW w:w="1728" w:type="dxa"/>
            <w:shd w:val="clear" w:color="auto" w:fill="8DB3E2" w:themeFill="text2" w:themeFillTint="66"/>
          </w:tcPr>
          <w:p w:rsidR="002F1D78" w:rsidRPr="00692B88" w:rsidRDefault="002F1D78" w:rsidP="00692B88">
            <w:pPr>
              <w:pStyle w:val="ListParagraph"/>
              <w:ind w:left="0"/>
              <w:rPr>
                <w:sz w:val="20"/>
                <w:szCs w:val="20"/>
              </w:rPr>
            </w:pPr>
            <w:r>
              <w:rPr>
                <w:sz w:val="20"/>
                <w:szCs w:val="20"/>
              </w:rPr>
              <w:t>Total non-</w:t>
            </w:r>
            <w:proofErr w:type="spellStart"/>
            <w:r>
              <w:rPr>
                <w:sz w:val="20"/>
                <w:szCs w:val="20"/>
              </w:rPr>
              <w:t>sal</w:t>
            </w:r>
            <w:proofErr w:type="spellEnd"/>
            <w:r>
              <w:rPr>
                <w:sz w:val="20"/>
                <w:szCs w:val="20"/>
              </w:rPr>
              <w:t>/ben</w:t>
            </w:r>
          </w:p>
        </w:tc>
        <w:tc>
          <w:tcPr>
            <w:tcW w:w="1233" w:type="dxa"/>
            <w:shd w:val="clear" w:color="auto" w:fill="8DB3E2" w:themeFill="text2" w:themeFillTint="66"/>
          </w:tcPr>
          <w:p w:rsidR="002F1D78" w:rsidRPr="00692B88" w:rsidRDefault="002F1D78" w:rsidP="00692B88">
            <w:pPr>
              <w:pStyle w:val="ListParagraph"/>
              <w:ind w:left="0"/>
              <w:rPr>
                <w:sz w:val="20"/>
                <w:szCs w:val="20"/>
              </w:rPr>
            </w:pPr>
            <w:r>
              <w:rPr>
                <w:sz w:val="20"/>
                <w:szCs w:val="20"/>
              </w:rPr>
              <w:t>36.7</w:t>
            </w:r>
          </w:p>
        </w:tc>
        <w:tc>
          <w:tcPr>
            <w:tcW w:w="1387" w:type="dxa"/>
            <w:shd w:val="clear" w:color="auto" w:fill="8DB3E2" w:themeFill="text2" w:themeFillTint="66"/>
          </w:tcPr>
          <w:p w:rsidR="002F1D78" w:rsidRPr="00692B88" w:rsidRDefault="002F1D78" w:rsidP="00692B88">
            <w:pPr>
              <w:pStyle w:val="ListParagraph"/>
              <w:ind w:left="0"/>
              <w:rPr>
                <w:sz w:val="20"/>
                <w:szCs w:val="20"/>
              </w:rPr>
            </w:pPr>
            <w:r w:rsidRPr="00D8226E">
              <w:rPr>
                <w:color w:val="FF0000"/>
                <w:sz w:val="20"/>
                <w:szCs w:val="20"/>
              </w:rPr>
              <w:t>-3</w:t>
            </w:r>
          </w:p>
        </w:tc>
        <w:tc>
          <w:tcPr>
            <w:tcW w:w="1380" w:type="dxa"/>
            <w:shd w:val="clear" w:color="auto" w:fill="8DB3E2" w:themeFill="text2" w:themeFillTint="66"/>
          </w:tcPr>
          <w:p w:rsidR="002F1D78" w:rsidRPr="00692B88" w:rsidRDefault="002F1D78" w:rsidP="00692B88">
            <w:pPr>
              <w:pStyle w:val="ListParagraph"/>
              <w:ind w:left="0"/>
              <w:rPr>
                <w:sz w:val="20"/>
                <w:szCs w:val="20"/>
              </w:rPr>
            </w:pPr>
            <w:r>
              <w:rPr>
                <w:sz w:val="20"/>
                <w:szCs w:val="20"/>
              </w:rPr>
              <w:t>33.8</w:t>
            </w:r>
          </w:p>
        </w:tc>
        <w:tc>
          <w:tcPr>
            <w:tcW w:w="1850" w:type="dxa"/>
            <w:shd w:val="clear" w:color="auto" w:fill="8DB3E2" w:themeFill="text2" w:themeFillTint="66"/>
          </w:tcPr>
          <w:p w:rsidR="002F1D78" w:rsidRPr="00692B88" w:rsidRDefault="002F1D78" w:rsidP="00692B88">
            <w:pPr>
              <w:pStyle w:val="ListParagraph"/>
              <w:ind w:left="0"/>
              <w:rPr>
                <w:sz w:val="20"/>
                <w:szCs w:val="20"/>
              </w:rPr>
            </w:pPr>
          </w:p>
        </w:tc>
        <w:tc>
          <w:tcPr>
            <w:tcW w:w="1980" w:type="dxa"/>
            <w:shd w:val="clear" w:color="auto" w:fill="8DB3E2" w:themeFill="text2" w:themeFillTint="66"/>
          </w:tcPr>
          <w:p w:rsidR="002F1D78" w:rsidRPr="00692B88" w:rsidRDefault="002F1D78" w:rsidP="00692B88">
            <w:pPr>
              <w:pStyle w:val="ListParagraph"/>
              <w:ind w:left="0"/>
              <w:rPr>
                <w:sz w:val="20"/>
                <w:szCs w:val="20"/>
              </w:rPr>
            </w:pPr>
            <w:r>
              <w:rPr>
                <w:sz w:val="20"/>
                <w:szCs w:val="20"/>
              </w:rPr>
              <w:t>33.8</w:t>
            </w:r>
          </w:p>
        </w:tc>
      </w:tr>
      <w:tr w:rsidR="002F1D78" w:rsidTr="007B72E7">
        <w:tc>
          <w:tcPr>
            <w:tcW w:w="1728" w:type="dxa"/>
            <w:shd w:val="clear" w:color="auto" w:fill="FFFF00"/>
          </w:tcPr>
          <w:p w:rsidR="002F1D78" w:rsidRPr="00692B88" w:rsidRDefault="002F1D78" w:rsidP="00692B88">
            <w:pPr>
              <w:pStyle w:val="ListParagraph"/>
              <w:ind w:left="0"/>
              <w:rPr>
                <w:sz w:val="20"/>
                <w:szCs w:val="20"/>
              </w:rPr>
            </w:pPr>
            <w:r>
              <w:rPr>
                <w:sz w:val="20"/>
                <w:szCs w:val="20"/>
              </w:rPr>
              <w:t>Total Expenditures</w:t>
            </w:r>
          </w:p>
        </w:tc>
        <w:tc>
          <w:tcPr>
            <w:tcW w:w="1233" w:type="dxa"/>
            <w:shd w:val="clear" w:color="auto" w:fill="FFFF00"/>
          </w:tcPr>
          <w:p w:rsidR="002F1D78" w:rsidRPr="00692B88" w:rsidRDefault="002F1D78" w:rsidP="00692B88">
            <w:pPr>
              <w:pStyle w:val="ListParagraph"/>
              <w:ind w:left="0"/>
              <w:rPr>
                <w:sz w:val="20"/>
                <w:szCs w:val="20"/>
              </w:rPr>
            </w:pPr>
            <w:r>
              <w:rPr>
                <w:sz w:val="20"/>
                <w:szCs w:val="20"/>
              </w:rPr>
              <w:t>173</w:t>
            </w:r>
          </w:p>
        </w:tc>
        <w:tc>
          <w:tcPr>
            <w:tcW w:w="1387" w:type="dxa"/>
            <w:shd w:val="clear" w:color="auto" w:fill="FFFF00"/>
          </w:tcPr>
          <w:p w:rsidR="002F1D78" w:rsidRPr="00692B88" w:rsidRDefault="002F1D78" w:rsidP="00692B88">
            <w:pPr>
              <w:pStyle w:val="ListParagraph"/>
              <w:ind w:left="0"/>
              <w:rPr>
                <w:sz w:val="20"/>
                <w:szCs w:val="20"/>
              </w:rPr>
            </w:pPr>
            <w:r w:rsidRPr="00D8226E">
              <w:rPr>
                <w:color w:val="FF0000"/>
                <w:sz w:val="20"/>
                <w:szCs w:val="20"/>
              </w:rPr>
              <w:t>-1.4</w:t>
            </w:r>
          </w:p>
        </w:tc>
        <w:tc>
          <w:tcPr>
            <w:tcW w:w="1380" w:type="dxa"/>
            <w:shd w:val="clear" w:color="auto" w:fill="FFFF00"/>
          </w:tcPr>
          <w:p w:rsidR="002F1D78" w:rsidRPr="00692B88" w:rsidRDefault="002F1D78" w:rsidP="00692B88">
            <w:pPr>
              <w:pStyle w:val="ListParagraph"/>
              <w:ind w:left="0"/>
              <w:rPr>
                <w:sz w:val="20"/>
                <w:szCs w:val="20"/>
              </w:rPr>
            </w:pPr>
            <w:r>
              <w:rPr>
                <w:sz w:val="20"/>
                <w:szCs w:val="20"/>
              </w:rPr>
              <w:t>171</w:t>
            </w:r>
          </w:p>
        </w:tc>
        <w:tc>
          <w:tcPr>
            <w:tcW w:w="1850" w:type="dxa"/>
            <w:shd w:val="clear" w:color="auto" w:fill="FFFF00"/>
          </w:tcPr>
          <w:p w:rsidR="002F1D78" w:rsidRPr="00692B88" w:rsidRDefault="002F1D78" w:rsidP="00692B88">
            <w:pPr>
              <w:pStyle w:val="ListParagraph"/>
              <w:ind w:left="0"/>
              <w:rPr>
                <w:sz w:val="20"/>
                <w:szCs w:val="20"/>
              </w:rPr>
            </w:pPr>
            <w:r>
              <w:rPr>
                <w:sz w:val="20"/>
                <w:szCs w:val="20"/>
              </w:rPr>
              <w:t>176.4</w:t>
            </w:r>
          </w:p>
        </w:tc>
        <w:tc>
          <w:tcPr>
            <w:tcW w:w="1980" w:type="dxa"/>
            <w:shd w:val="clear" w:color="auto" w:fill="FFFF00"/>
          </w:tcPr>
          <w:p w:rsidR="002F1D78" w:rsidRPr="00692B88" w:rsidRDefault="002F1D78" w:rsidP="00692B88">
            <w:pPr>
              <w:pStyle w:val="ListParagraph"/>
              <w:ind w:left="0"/>
              <w:rPr>
                <w:sz w:val="20"/>
                <w:szCs w:val="20"/>
              </w:rPr>
            </w:pPr>
            <w:r>
              <w:rPr>
                <w:sz w:val="20"/>
                <w:szCs w:val="20"/>
              </w:rPr>
              <w:t>176.4</w:t>
            </w:r>
          </w:p>
        </w:tc>
      </w:tr>
    </w:tbl>
    <w:p w:rsidR="007B72E7" w:rsidRDefault="007B72E7" w:rsidP="00692B88">
      <w:pPr>
        <w:pStyle w:val="ListParagraph"/>
        <w:ind w:left="1080"/>
      </w:pPr>
    </w:p>
    <w:p w:rsidR="002F1D78" w:rsidRDefault="002F1D78" w:rsidP="00C52591">
      <w:pPr>
        <w:pStyle w:val="ListParagraph"/>
        <w:ind w:left="0"/>
      </w:pPr>
      <w:r>
        <w:t>Notes: FY16 Expenditures estimated at $1.4M less than revenues. Estimated faculty salaries held constant in anticipation of further cuts in the use of adjuncts. Estimated FY17 based on using same changes from 15-16 to 16-17.</w:t>
      </w:r>
      <w:r w:rsidR="008929DB">
        <w:t xml:space="preserve"> Does not include final enrollment #’s or potential increase to </w:t>
      </w:r>
      <w:proofErr w:type="gramStart"/>
      <w:r w:rsidR="008929DB">
        <w:t>Spring</w:t>
      </w:r>
      <w:proofErr w:type="gramEnd"/>
      <w:r w:rsidR="008929DB">
        <w:t xml:space="preserve"> 2016 tuition.</w:t>
      </w:r>
      <w:r w:rsidR="008F1FD4">
        <w:t xml:space="preserve"> </w:t>
      </w:r>
      <w:r w:rsidR="007B72E7">
        <w:t xml:space="preserve">Unclear whether reduced spending on instruction is from reduced adjuncts, full time faculty, or administration although less adjuncts </w:t>
      </w:r>
      <w:r w:rsidR="0054259B">
        <w:t>are expected to be utilized th</w:t>
      </w:r>
      <w:r w:rsidR="007B72E7">
        <w:t xml:space="preserve">is </w:t>
      </w:r>
      <w:bookmarkStart w:id="0" w:name="_GoBack"/>
      <w:bookmarkEnd w:id="0"/>
      <w:r w:rsidR="007B72E7">
        <w:t>year.</w:t>
      </w:r>
      <w:r w:rsidR="00F05B2E">
        <w:t xml:space="preserve"> </w:t>
      </w:r>
    </w:p>
    <w:p w:rsidR="007B72E7" w:rsidRDefault="007B72E7" w:rsidP="00C52591">
      <w:pPr>
        <w:pStyle w:val="ListParagraph"/>
        <w:ind w:left="0" w:hanging="1080"/>
      </w:pPr>
    </w:p>
    <w:p w:rsidR="008929DB" w:rsidRDefault="008F1FD4" w:rsidP="00C52591">
      <w:pPr>
        <w:pStyle w:val="ListParagraph"/>
        <w:ind w:left="0"/>
      </w:pPr>
      <w:r>
        <w:t>2. Personnel Breakdown</w:t>
      </w:r>
    </w:p>
    <w:p w:rsidR="007B72E7" w:rsidRDefault="00ED2C7E" w:rsidP="00C52591">
      <w:pPr>
        <w:pStyle w:val="ListParagraph"/>
        <w:ind w:left="0" w:hanging="1080"/>
      </w:pPr>
      <w:r>
        <w:rPr>
          <w:noProof/>
        </w:rPr>
        <w:drawing>
          <wp:anchor distT="0" distB="0" distL="114300" distR="114300" simplePos="0" relativeHeight="251658240" behindDoc="0" locked="0" layoutInCell="1" allowOverlap="1" wp14:anchorId="6DEB4445" wp14:editId="75A6F9CF">
            <wp:simplePos x="0" y="0"/>
            <wp:positionH relativeFrom="column">
              <wp:posOffset>-650240</wp:posOffset>
            </wp:positionH>
            <wp:positionV relativeFrom="paragraph">
              <wp:posOffset>173990</wp:posOffset>
            </wp:positionV>
            <wp:extent cx="8879840" cy="3302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8879840" cy="3302000"/>
                    </a:xfrm>
                    <a:prstGeom prst="rect">
                      <a:avLst/>
                    </a:prstGeom>
                  </pic:spPr>
                </pic:pic>
              </a:graphicData>
            </a:graphic>
            <wp14:sizeRelH relativeFrom="page">
              <wp14:pctWidth>0</wp14:pctWidth>
            </wp14:sizeRelH>
            <wp14:sizeRelV relativeFrom="page">
              <wp14:pctHeight>0</wp14:pctHeight>
            </wp14:sizeRelV>
          </wp:anchor>
        </w:drawing>
      </w:r>
    </w:p>
    <w:p w:rsidR="007B72E7" w:rsidRDefault="007B72E7" w:rsidP="00C52591">
      <w:pPr>
        <w:pStyle w:val="ListParagraph"/>
        <w:ind w:left="0"/>
      </w:pPr>
      <w:r>
        <w:t xml:space="preserve">Notes: % of salary spent on faculty relatively constant from 2008-2015. </w:t>
      </w:r>
      <w:proofErr w:type="gramStart"/>
      <w:r w:rsidR="00E133BF">
        <w:t>Includes both full time and part time faculty.</w:t>
      </w:r>
      <w:proofErr w:type="gramEnd"/>
    </w:p>
    <w:p w:rsidR="00C52591" w:rsidRDefault="00C52591" w:rsidP="00C52591">
      <w:pPr>
        <w:ind w:hanging="1080"/>
      </w:pPr>
      <w:r>
        <w:br w:type="page"/>
      </w:r>
    </w:p>
    <w:p w:rsidR="00C52591" w:rsidRDefault="00C52591" w:rsidP="00C52591">
      <w:pPr>
        <w:pStyle w:val="ListParagraph"/>
        <w:ind w:left="0"/>
      </w:pPr>
      <w:r>
        <w:lastRenderedPageBreak/>
        <w:t>3. Special note on auxiliary spending</w:t>
      </w:r>
    </w:p>
    <w:p w:rsidR="00C52591" w:rsidRDefault="00C52591" w:rsidP="00C52591">
      <w:pPr>
        <w:pStyle w:val="ListParagraph"/>
        <w:ind w:left="0" w:hanging="1080"/>
      </w:pPr>
    </w:p>
    <w:p w:rsidR="0026085B" w:rsidRDefault="00ED2C7E" w:rsidP="00C52591">
      <w:pPr>
        <w:pStyle w:val="ListParagraph"/>
        <w:ind w:left="0"/>
      </w:pPr>
      <w:r>
        <w:t>In the past year</w:t>
      </w:r>
      <w:r w:rsidR="0049379B">
        <w:t xml:space="preserve"> </w:t>
      </w:r>
      <w:r>
        <w:t>the athletics department overspent its budget by approximately $1M</w:t>
      </w:r>
      <w:r w:rsidR="00E133BF">
        <w:t xml:space="preserve">, which represents </w:t>
      </w:r>
      <w:r w:rsidR="0049379B">
        <w:t xml:space="preserve">a significant fraction of their overall budget. </w:t>
      </w:r>
      <w:r w:rsidR="0026085B">
        <w:t xml:space="preserve">The university covered this overspending using money outside the general education fund, which the athletics department is expected to pay back including interest at some rate. It should be noted that such over-expenditures do occur from time to time in different divisions, both academic and not. However, $1M represents a larger than usual amount considering the total athletics budget (including all revenue sources) is about $17M. </w:t>
      </w:r>
      <w:r w:rsidR="0026085B">
        <w:t>This is in addition to an overall deficit of about $700k that has been accumulating over several years. This deficit has been explained as consisting mainly of an accumulation of vacation days and does not require immediate payment.</w:t>
      </w:r>
    </w:p>
    <w:p w:rsidR="00764680" w:rsidRDefault="00764680" w:rsidP="00C52591">
      <w:pPr>
        <w:pStyle w:val="ListParagraph"/>
        <w:ind w:left="0"/>
      </w:pPr>
    </w:p>
    <w:p w:rsidR="00764680" w:rsidRDefault="00764680" w:rsidP="00C52591">
      <w:pPr>
        <w:pStyle w:val="ListParagraph"/>
        <w:ind w:left="0"/>
      </w:pPr>
      <w:r>
        <w:t>4. Budget Transparency</w:t>
      </w:r>
    </w:p>
    <w:p w:rsidR="00764680" w:rsidRDefault="00764680" w:rsidP="00C52591">
      <w:pPr>
        <w:pStyle w:val="ListParagraph"/>
        <w:ind w:left="0"/>
      </w:pPr>
      <w:r>
        <w:t>The university passed a policy (</w:t>
      </w:r>
      <w:r w:rsidRPr="00764680">
        <w:t>2.13:  Faculty Participation in University Planning and Budgeting</w:t>
      </w:r>
      <w:r>
        <w:t xml:space="preserve">, </w:t>
      </w:r>
      <w:hyperlink r:id="rId7" w:history="1">
        <w:r w:rsidRPr="00485841">
          <w:rPr>
            <w:rStyle w:val="Hyperlink"/>
          </w:rPr>
          <w:t>http://www.uni.edu/policies/213</w:t>
        </w:r>
      </w:hyperlink>
      <w:r>
        <w:t xml:space="preserve">) last spring regarding faculty participation in the university budgeting process. </w:t>
      </w:r>
      <w:r w:rsidR="00B4383E">
        <w:t xml:space="preserve">As part of this process, faculty are to take part at the department level in establishing budget priorities, college senates will participate at the college level, and at the university level the process will involve the faculty senate. We are currently working out the means by which information is to be conveyed to faculty. Ideally, this information will be easily understandable, contain a three year reporting period, and be easily obtainable using existing reporting methods. The form of these reports will be determined this fall, and may be optimized in the coming years. It is recommended that, on an annual basis, faculty take part in budgetary discussions by having each department head disperse such reports and ask for input during a department meeting, the college senates do so in the same manner with the dean, </w:t>
      </w:r>
      <w:r w:rsidR="00F05B2E">
        <w:t xml:space="preserve">and the senate budget committee receive university and college level reports for compilation and distribution to the senate. Additionally, it is recommended that the senate consult on at least an annual basis with a representative from the finance office, especially near the end of the </w:t>
      </w:r>
      <w:proofErr w:type="gramStart"/>
      <w:r w:rsidR="00F05B2E">
        <w:t>Spring</w:t>
      </w:r>
      <w:proofErr w:type="gramEnd"/>
      <w:r w:rsidR="00F05B2E">
        <w:t xml:space="preserve"> term to discuss budget issues for the coming year. </w:t>
      </w:r>
    </w:p>
    <w:p w:rsidR="007B72E7" w:rsidRDefault="007B72E7" w:rsidP="00C52591">
      <w:pPr>
        <w:pStyle w:val="ListParagraph"/>
        <w:ind w:left="0" w:hanging="1080"/>
      </w:pPr>
    </w:p>
    <w:p w:rsidR="002F1D78" w:rsidRDefault="002F1D78" w:rsidP="00C52591">
      <w:pPr>
        <w:pStyle w:val="ListParagraph"/>
        <w:ind w:left="0" w:hanging="1080"/>
      </w:pPr>
    </w:p>
    <w:p w:rsidR="002F1D78" w:rsidRDefault="002F1D78" w:rsidP="00C52591">
      <w:pPr>
        <w:pStyle w:val="ListParagraph"/>
        <w:ind w:left="0" w:hanging="1080"/>
      </w:pPr>
    </w:p>
    <w:sectPr w:rsidR="002F1D78" w:rsidSect="008F1FD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A94FF0"/>
    <w:multiLevelType w:val="hybridMultilevel"/>
    <w:tmpl w:val="105CE440"/>
    <w:lvl w:ilvl="0" w:tplc="F8185C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4B704F"/>
    <w:multiLevelType w:val="hybridMultilevel"/>
    <w:tmpl w:val="2AEA9970"/>
    <w:lvl w:ilvl="0" w:tplc="B0460C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17E"/>
    <w:rsid w:val="0026085B"/>
    <w:rsid w:val="002F1D78"/>
    <w:rsid w:val="00411A88"/>
    <w:rsid w:val="0042359A"/>
    <w:rsid w:val="0049379B"/>
    <w:rsid w:val="004F012B"/>
    <w:rsid w:val="0054259B"/>
    <w:rsid w:val="00692B88"/>
    <w:rsid w:val="0070617E"/>
    <w:rsid w:val="00764680"/>
    <w:rsid w:val="007810E1"/>
    <w:rsid w:val="007B72E7"/>
    <w:rsid w:val="008200AB"/>
    <w:rsid w:val="008929DB"/>
    <w:rsid w:val="008F1FD4"/>
    <w:rsid w:val="00B4383E"/>
    <w:rsid w:val="00C52591"/>
    <w:rsid w:val="00D8226E"/>
    <w:rsid w:val="00E133BF"/>
    <w:rsid w:val="00E668C6"/>
    <w:rsid w:val="00ED2C7E"/>
    <w:rsid w:val="00F05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617E"/>
    <w:rPr>
      <w:color w:val="0000FF" w:themeColor="hyperlink"/>
      <w:u w:val="single"/>
    </w:rPr>
  </w:style>
  <w:style w:type="paragraph" w:styleId="ListParagraph">
    <w:name w:val="List Paragraph"/>
    <w:basedOn w:val="Normal"/>
    <w:uiPriority w:val="34"/>
    <w:qFormat/>
    <w:rsid w:val="0042359A"/>
    <w:pPr>
      <w:ind w:left="720"/>
      <w:contextualSpacing/>
    </w:pPr>
  </w:style>
  <w:style w:type="table" w:styleId="TableGrid">
    <w:name w:val="Table Grid"/>
    <w:basedOn w:val="TableNormal"/>
    <w:uiPriority w:val="59"/>
    <w:rsid w:val="00692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72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2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617E"/>
    <w:rPr>
      <w:color w:val="0000FF" w:themeColor="hyperlink"/>
      <w:u w:val="single"/>
    </w:rPr>
  </w:style>
  <w:style w:type="paragraph" w:styleId="ListParagraph">
    <w:name w:val="List Paragraph"/>
    <w:basedOn w:val="Normal"/>
    <w:uiPriority w:val="34"/>
    <w:qFormat/>
    <w:rsid w:val="0042359A"/>
    <w:pPr>
      <w:ind w:left="720"/>
      <w:contextualSpacing/>
    </w:pPr>
  </w:style>
  <w:style w:type="table" w:styleId="TableGrid">
    <w:name w:val="Table Grid"/>
    <w:basedOn w:val="TableNormal"/>
    <w:uiPriority w:val="59"/>
    <w:rsid w:val="00692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72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2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96882">
      <w:bodyDiv w:val="1"/>
      <w:marLeft w:val="0"/>
      <w:marRight w:val="0"/>
      <w:marTop w:val="0"/>
      <w:marBottom w:val="0"/>
      <w:divBdr>
        <w:top w:val="none" w:sz="0" w:space="0" w:color="auto"/>
        <w:left w:val="none" w:sz="0" w:space="0" w:color="auto"/>
        <w:bottom w:val="none" w:sz="0" w:space="0" w:color="auto"/>
        <w:right w:val="none" w:sz="0" w:space="0" w:color="auto"/>
      </w:divBdr>
    </w:div>
    <w:div w:id="765073604">
      <w:bodyDiv w:val="1"/>
      <w:marLeft w:val="0"/>
      <w:marRight w:val="0"/>
      <w:marTop w:val="0"/>
      <w:marBottom w:val="0"/>
      <w:divBdr>
        <w:top w:val="none" w:sz="0" w:space="0" w:color="auto"/>
        <w:left w:val="none" w:sz="0" w:space="0" w:color="auto"/>
        <w:bottom w:val="none" w:sz="0" w:space="0" w:color="auto"/>
        <w:right w:val="none" w:sz="0" w:space="0" w:color="auto"/>
      </w:divBdr>
    </w:div>
    <w:div w:id="129375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uni.edu/policies/2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888</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kidd</dc:creator>
  <cp:lastModifiedBy>kidd</cp:lastModifiedBy>
  <cp:revision>2</cp:revision>
  <dcterms:created xsi:type="dcterms:W3CDTF">2015-10-06T05:17:00Z</dcterms:created>
  <dcterms:modified xsi:type="dcterms:W3CDTF">2015-10-06T05:17:00Z</dcterms:modified>
</cp:coreProperties>
</file>