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63F" w:rsidRPr="00194849" w:rsidRDefault="00B20775"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w:t>
      </w:r>
    </w:p>
    <w:p w:rsidR="00DE163F" w:rsidRPr="00DE163F" w:rsidRDefault="00DE163F"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DE163F" w:rsidRDefault="009151F1" w:rsidP="0091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rPr>
      </w:pPr>
      <w:r>
        <w:rPr>
          <w:rFonts w:eastAsia="Times New Roman" w:cs="Courier New"/>
        </w:rPr>
        <w:t>Senate Budget Committee</w:t>
      </w:r>
    </w:p>
    <w:p w:rsidR="009151F1" w:rsidRDefault="009151F1" w:rsidP="0091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rPr>
      </w:pPr>
    </w:p>
    <w:p w:rsidR="009151F1" w:rsidRDefault="009151F1" w:rsidP="0091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rPr>
      </w:pPr>
      <w:r>
        <w:rPr>
          <w:rFonts w:eastAsia="Times New Roman" w:cs="Courier New"/>
        </w:rPr>
        <w:t>Spring 2014 Report</w:t>
      </w:r>
    </w:p>
    <w:p w:rsidR="009151F1" w:rsidRDefault="009151F1" w:rsidP="0091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rPr>
      </w:pPr>
    </w:p>
    <w:p w:rsidR="009151F1" w:rsidRPr="00194849" w:rsidRDefault="00BB7269"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Committee: </w:t>
      </w:r>
      <w:r w:rsidR="009151F1">
        <w:rPr>
          <w:rFonts w:eastAsia="Times New Roman" w:cs="Courier New"/>
        </w:rPr>
        <w:t>Tim Kidd</w:t>
      </w:r>
      <w:r w:rsidR="003E45FA">
        <w:rPr>
          <w:rFonts w:eastAsia="Times New Roman" w:cs="Courier New"/>
        </w:rPr>
        <w:t xml:space="preserve"> (chair)</w:t>
      </w:r>
      <w:r w:rsidR="009151F1">
        <w:rPr>
          <w:rFonts w:eastAsia="Times New Roman" w:cs="Courier New"/>
        </w:rPr>
        <w:t>, Adam Butler, Frank Thompson, Bill Callahan, Hans Isakson</w:t>
      </w:r>
    </w:p>
    <w:p w:rsidR="004A042A" w:rsidRDefault="004A042A"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3B6A5E" w:rsidRDefault="00F656FE"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In preparing this report we have benefitted from consultations with the provost, foundation, athletics, </w:t>
      </w:r>
      <w:r w:rsidR="0033318E">
        <w:rPr>
          <w:rFonts w:eastAsia="Times New Roman" w:cs="Courier New"/>
        </w:rPr>
        <w:t xml:space="preserve">student affairs, </w:t>
      </w:r>
      <w:r>
        <w:rPr>
          <w:rFonts w:eastAsia="Times New Roman" w:cs="Courier New"/>
        </w:rPr>
        <w:t>and the finance department.</w:t>
      </w:r>
      <w:r w:rsidR="003E45FA">
        <w:rPr>
          <w:rFonts w:eastAsia="Times New Roman" w:cs="Courier New"/>
        </w:rPr>
        <w:t xml:space="preserve"> </w:t>
      </w:r>
      <w:r w:rsidR="00BB7269">
        <w:rPr>
          <w:rFonts w:eastAsia="Times New Roman" w:cs="Courier New"/>
        </w:rPr>
        <w:t>We have taken their input seriously and tried</w:t>
      </w:r>
      <w:r w:rsidR="003B6A5E">
        <w:rPr>
          <w:rFonts w:eastAsia="Times New Roman" w:cs="Courier New"/>
        </w:rPr>
        <w:t xml:space="preserve"> to</w:t>
      </w:r>
      <w:r w:rsidR="00BB7269">
        <w:rPr>
          <w:rFonts w:eastAsia="Times New Roman" w:cs="Courier New"/>
        </w:rPr>
        <w:t xml:space="preserve"> present the financial situation of UNI to the best of our ability. As chair of the committee and the preparer of this report, I take full responsibility for any errors or misrepresentations that may exist herein</w:t>
      </w:r>
      <w:r w:rsidR="003B6A5E">
        <w:rPr>
          <w:rFonts w:eastAsia="Times New Roman" w:cs="Courier New"/>
        </w:rPr>
        <w:t>.</w:t>
      </w:r>
    </w:p>
    <w:p w:rsidR="003E45FA" w:rsidRPr="00194849" w:rsidRDefault="003B6A5E"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194849">
        <w:rPr>
          <w:rFonts w:eastAsia="Times New Roman" w:cs="Courier New"/>
        </w:rPr>
        <w:t xml:space="preserve"> </w:t>
      </w:r>
    </w:p>
    <w:p w:rsidR="004A042A" w:rsidRDefault="004A042A"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194849">
        <w:rPr>
          <w:rFonts w:eastAsia="Times New Roman" w:cs="Courier New"/>
        </w:rPr>
        <w:t>Summary</w:t>
      </w:r>
    </w:p>
    <w:p w:rsidR="003E45FA" w:rsidRDefault="00434B1E"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b/>
      </w:r>
      <w:r w:rsidR="000C61F4">
        <w:rPr>
          <w:rFonts w:eastAsia="Times New Roman" w:cs="Courier New"/>
        </w:rPr>
        <w:t>The senate budget committee has been tasked with examining the current financial situation of the university and to examine the budget priorities evidenced by spending within the university.</w:t>
      </w:r>
      <w:r w:rsidR="00633F9C">
        <w:rPr>
          <w:rFonts w:eastAsia="Times New Roman" w:cs="Courier New"/>
        </w:rPr>
        <w:t xml:space="preserve"> </w:t>
      </w:r>
      <w:r w:rsidR="003E45FA">
        <w:rPr>
          <w:rFonts w:eastAsia="Times New Roman" w:cs="Courier New"/>
        </w:rPr>
        <w:t xml:space="preserve">We are trying to restrict our analysis to quantitative data and not attempting to discern intent or impact of the data outside of a quantitative analysis of the financial numbers. We hope that these findings can be used as a tool to help UNI prepare for potential future </w:t>
      </w:r>
      <w:r w:rsidR="00BB1BA5">
        <w:rPr>
          <w:rFonts w:eastAsia="Times New Roman" w:cs="Courier New"/>
        </w:rPr>
        <w:t>financial crisis</w:t>
      </w:r>
      <w:r w:rsidR="003E45FA">
        <w:rPr>
          <w:rFonts w:eastAsia="Times New Roman" w:cs="Courier New"/>
        </w:rPr>
        <w:t xml:space="preserve"> and general budget prioritization</w:t>
      </w:r>
      <w:r w:rsidR="00215A8E">
        <w:rPr>
          <w:rFonts w:eastAsia="Times New Roman" w:cs="Courier New"/>
        </w:rPr>
        <w:t xml:space="preserve"> in this era of reduced state funding which began in 2002</w:t>
      </w:r>
      <w:r w:rsidR="003E45FA">
        <w:rPr>
          <w:rFonts w:eastAsia="Times New Roman" w:cs="Courier New"/>
        </w:rPr>
        <w:t xml:space="preserve">. </w:t>
      </w:r>
    </w:p>
    <w:p w:rsidR="000F42C6" w:rsidRDefault="003E45FA"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b/>
      </w:r>
      <w:r w:rsidR="00633F9C">
        <w:rPr>
          <w:rFonts w:eastAsia="Times New Roman" w:cs="Courier New"/>
        </w:rPr>
        <w:t xml:space="preserve">The current budget for the university is </w:t>
      </w:r>
      <w:r w:rsidR="007E1D51">
        <w:rPr>
          <w:rFonts w:eastAsia="Times New Roman" w:cs="Courier New"/>
        </w:rPr>
        <w:t xml:space="preserve">moderately </w:t>
      </w:r>
      <w:r w:rsidR="00633F9C">
        <w:rPr>
          <w:rFonts w:eastAsia="Times New Roman" w:cs="Courier New"/>
        </w:rPr>
        <w:t xml:space="preserve">healthy for the next year, with concern for 2016 depending on </w:t>
      </w:r>
      <w:r w:rsidR="0002415A">
        <w:rPr>
          <w:rFonts w:eastAsia="Times New Roman" w:cs="Courier New"/>
        </w:rPr>
        <w:t xml:space="preserve">future </w:t>
      </w:r>
      <w:r w:rsidR="00633F9C">
        <w:rPr>
          <w:rFonts w:eastAsia="Times New Roman" w:cs="Courier New"/>
        </w:rPr>
        <w:t>enrollment</w:t>
      </w:r>
      <w:r w:rsidR="004F628F">
        <w:rPr>
          <w:rFonts w:eastAsia="Times New Roman" w:cs="Courier New"/>
        </w:rPr>
        <w:t>, tuition levels,</w:t>
      </w:r>
      <w:r w:rsidR="00633F9C">
        <w:rPr>
          <w:rFonts w:eastAsia="Times New Roman" w:cs="Courier New"/>
        </w:rPr>
        <w:t xml:space="preserve"> and state appropriations. </w:t>
      </w:r>
      <w:r w:rsidR="004F628F">
        <w:rPr>
          <w:rFonts w:eastAsia="Times New Roman" w:cs="Courier New"/>
        </w:rPr>
        <w:t xml:space="preserve">Based on a simple </w:t>
      </w:r>
      <w:r w:rsidR="00215A8E">
        <w:rPr>
          <w:rFonts w:eastAsia="Times New Roman" w:cs="Courier New"/>
        </w:rPr>
        <w:t>model</w:t>
      </w:r>
      <w:r w:rsidR="004F628F">
        <w:rPr>
          <w:rFonts w:eastAsia="Times New Roman" w:cs="Courier New"/>
        </w:rPr>
        <w:t xml:space="preserve"> of how expenses will increase in the next two years, we find that revenues will</w:t>
      </w:r>
      <w:r w:rsidR="00D10BDD">
        <w:rPr>
          <w:rFonts w:eastAsia="Times New Roman" w:cs="Courier New"/>
        </w:rPr>
        <w:t xml:space="preserve"> have to increase by roughly $</w:t>
      </w:r>
      <w:r w:rsidR="00131B12">
        <w:rPr>
          <w:rFonts w:eastAsia="Times New Roman" w:cs="Courier New"/>
        </w:rPr>
        <w:t>8</w:t>
      </w:r>
      <w:r w:rsidR="004F628F">
        <w:rPr>
          <w:rFonts w:eastAsia="Times New Roman" w:cs="Courier New"/>
        </w:rPr>
        <w:t>M to keep the university at its current</w:t>
      </w:r>
      <w:r w:rsidR="00D10BDD">
        <w:rPr>
          <w:rFonts w:eastAsia="Times New Roman" w:cs="Courier New"/>
        </w:rPr>
        <w:t xml:space="preserve"> </w:t>
      </w:r>
      <w:r w:rsidR="00131B12">
        <w:rPr>
          <w:rFonts w:eastAsia="Times New Roman" w:cs="Courier New"/>
        </w:rPr>
        <w:t xml:space="preserve">funding </w:t>
      </w:r>
      <w:r w:rsidR="004F628F">
        <w:rPr>
          <w:rFonts w:eastAsia="Times New Roman" w:cs="Courier New"/>
        </w:rPr>
        <w:t xml:space="preserve">level. </w:t>
      </w:r>
      <w:r w:rsidR="00633F9C">
        <w:rPr>
          <w:rFonts w:eastAsia="Times New Roman" w:cs="Courier New"/>
        </w:rPr>
        <w:t xml:space="preserve">The university maintains reserves on the order of $2M, and one-time cuts of double that number would not drastically impact the university although could lead to problems in future years. </w:t>
      </w:r>
      <w:r w:rsidR="000F42C6">
        <w:rPr>
          <w:rFonts w:eastAsia="Times New Roman" w:cs="Courier New"/>
        </w:rPr>
        <w:t xml:space="preserve">This is especially true as recent cuts to revenue have already been addressed in such a manner. </w:t>
      </w:r>
      <w:r w:rsidR="004F628F">
        <w:rPr>
          <w:rFonts w:eastAsia="Times New Roman" w:cs="Courier New"/>
        </w:rPr>
        <w:t>Given that the university has already had to make sacrifices in many areas,</w:t>
      </w:r>
      <w:r w:rsidR="000F42C6">
        <w:rPr>
          <w:rFonts w:eastAsia="Times New Roman" w:cs="Courier New"/>
        </w:rPr>
        <w:t xml:space="preserve"> faculty should be prepared to take an active role in working with the administration to set budget priorities, responding to the upcoming efficiency study, and looking at the upcoming performance-based / enrollment funding models.</w:t>
      </w:r>
      <w:r w:rsidR="00173498">
        <w:rPr>
          <w:rFonts w:eastAsia="Times New Roman" w:cs="Courier New"/>
        </w:rPr>
        <w:t xml:space="preserve"> It should be noted that the legislature did not fully fund the governor’s suggested budget for UNI, shaving off about $1.4M, so </w:t>
      </w:r>
      <w:r w:rsidR="00BB1BA5">
        <w:rPr>
          <w:rFonts w:eastAsia="Times New Roman" w:cs="Courier New"/>
        </w:rPr>
        <w:t xml:space="preserve">enhancements to </w:t>
      </w:r>
      <w:r w:rsidR="00173498">
        <w:rPr>
          <w:rFonts w:eastAsia="Times New Roman" w:cs="Courier New"/>
        </w:rPr>
        <w:t xml:space="preserve">future revenue </w:t>
      </w:r>
      <w:r w:rsidR="00131B12">
        <w:rPr>
          <w:rFonts w:eastAsia="Times New Roman" w:cs="Courier New"/>
        </w:rPr>
        <w:t xml:space="preserve">from the state </w:t>
      </w:r>
      <w:r w:rsidR="0075164E">
        <w:rPr>
          <w:rFonts w:eastAsia="Times New Roman" w:cs="Courier New"/>
        </w:rPr>
        <w:t>are not guaranteed in any way.</w:t>
      </w:r>
    </w:p>
    <w:p w:rsidR="000F42C6" w:rsidRDefault="00C75EBF"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b/>
        <w:t xml:space="preserve">In examining budget priorities, the trend over the past ten years </w:t>
      </w:r>
      <w:r w:rsidR="004F628F">
        <w:rPr>
          <w:rFonts w:eastAsia="Times New Roman" w:cs="Courier New"/>
        </w:rPr>
        <w:t xml:space="preserve">appears to be </w:t>
      </w:r>
      <w:r>
        <w:rPr>
          <w:rFonts w:eastAsia="Times New Roman" w:cs="Courier New"/>
        </w:rPr>
        <w:t xml:space="preserve">away from the core mission of education. </w:t>
      </w:r>
      <w:r w:rsidR="00173498">
        <w:rPr>
          <w:rFonts w:eastAsia="Times New Roman" w:cs="Courier New"/>
        </w:rPr>
        <w:t xml:space="preserve">This can be seen most clearly in faculty staffing levels: There are currently 33% less assistant tenure-track professors at UNI than there were in 2001. </w:t>
      </w:r>
      <w:r w:rsidR="004F628F">
        <w:rPr>
          <w:rFonts w:eastAsia="Times New Roman" w:cs="Courier New"/>
        </w:rPr>
        <w:t xml:space="preserve">However, this statement must be qualified in that all areas of the university have been significantly affected by cuts to the state appropriations. </w:t>
      </w:r>
      <w:r w:rsidR="00F50626">
        <w:rPr>
          <w:rFonts w:eastAsia="Times New Roman" w:cs="Courier New"/>
        </w:rPr>
        <w:t xml:space="preserve">State appropriation levels are still below 2001 funding levels in non-inflation adjusted dollars. </w:t>
      </w:r>
      <w:r w:rsidR="0075164E">
        <w:rPr>
          <w:rFonts w:eastAsia="Times New Roman" w:cs="Courier New"/>
        </w:rPr>
        <w:t xml:space="preserve">Another caveat is that examination of financial statements is a complicated affair. Here, we have done our best in </w:t>
      </w:r>
      <w:r w:rsidR="00215A8E">
        <w:rPr>
          <w:rFonts w:eastAsia="Times New Roman" w:cs="Courier New"/>
        </w:rPr>
        <w:t>a</w:t>
      </w:r>
      <w:r w:rsidR="0075164E">
        <w:rPr>
          <w:rFonts w:eastAsia="Times New Roman" w:cs="Courier New"/>
        </w:rPr>
        <w:t xml:space="preserve"> review of accessible budget categories. As can be seen in anomalous </w:t>
      </w:r>
      <w:r w:rsidR="00434B1E">
        <w:rPr>
          <w:rFonts w:eastAsia="Times New Roman" w:cs="Courier New"/>
        </w:rPr>
        <w:t xml:space="preserve">salary level comparisons in 2010-2011, these broad categories do not always tell the entire picture. </w:t>
      </w:r>
      <w:r w:rsidR="00F05E9C">
        <w:rPr>
          <w:rFonts w:eastAsia="Times New Roman" w:cs="Courier New"/>
        </w:rPr>
        <w:t>However, u</w:t>
      </w:r>
      <w:r w:rsidR="00434B1E">
        <w:rPr>
          <w:rFonts w:eastAsia="Times New Roman" w:cs="Courier New"/>
        </w:rPr>
        <w:t xml:space="preserve">pon examination of money transfers across divisions in the past year, we do not detect any nefarious intent to deceive faculty. We will be working with the finance department to create a more nuanced analysis of the university’s finances. However, we feel confident that our current analysis </w:t>
      </w:r>
      <w:r w:rsidR="00215A8E">
        <w:rPr>
          <w:rFonts w:eastAsia="Times New Roman" w:cs="Courier New"/>
        </w:rPr>
        <w:t xml:space="preserve">is sufficient to </w:t>
      </w:r>
      <w:r w:rsidR="00BB1BA5">
        <w:rPr>
          <w:rFonts w:eastAsia="Times New Roman" w:cs="Courier New"/>
        </w:rPr>
        <w:t xml:space="preserve">give </w:t>
      </w:r>
      <w:r w:rsidR="00434B1E">
        <w:rPr>
          <w:rFonts w:eastAsia="Times New Roman" w:cs="Courier New"/>
        </w:rPr>
        <w:t>insight into overall trends at the university.</w:t>
      </w:r>
    </w:p>
    <w:p w:rsidR="00215A8E" w:rsidRDefault="00434B1E" w:rsidP="00434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b/>
        <w:t xml:space="preserve">In comparing auxiliary funding as compared to instruction, we also see signs of a shift away from the academic mission of the university over the past ten years. </w:t>
      </w:r>
      <w:r w:rsidR="00587B4B">
        <w:rPr>
          <w:rFonts w:eastAsia="Times New Roman" w:cs="Courier New"/>
        </w:rPr>
        <w:t xml:space="preserve">Auxiliary funding has overall reduced slightly in the past four years, but remains higher than 2003 levels. </w:t>
      </w:r>
      <w:r>
        <w:rPr>
          <w:rFonts w:eastAsia="Times New Roman" w:cs="Courier New"/>
        </w:rPr>
        <w:t xml:space="preserve">However, it must be repeated that this information is coming in an era of reduced funding. Furthermore, in the past five </w:t>
      </w:r>
      <w:r>
        <w:rPr>
          <w:rFonts w:eastAsia="Times New Roman" w:cs="Courier New"/>
        </w:rPr>
        <w:lastRenderedPageBreak/>
        <w:t xml:space="preserve">years, auxiliary units have been charged overhead costs and at least a portion of utilities and other maintenance costs which do not appear in the budget for academic </w:t>
      </w:r>
      <w:r w:rsidR="00215A8E">
        <w:rPr>
          <w:rFonts w:eastAsia="Times New Roman" w:cs="Courier New"/>
        </w:rPr>
        <w:t>departments</w:t>
      </w:r>
      <w:r>
        <w:rPr>
          <w:rFonts w:eastAsia="Times New Roman" w:cs="Courier New"/>
        </w:rPr>
        <w:t xml:space="preserve">. </w:t>
      </w:r>
    </w:p>
    <w:p w:rsidR="00587B4B" w:rsidRDefault="00215A8E" w:rsidP="00434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b/>
      </w:r>
      <w:r w:rsidR="00434B1E">
        <w:rPr>
          <w:rFonts w:eastAsia="Times New Roman" w:cs="Courier New"/>
        </w:rPr>
        <w:t xml:space="preserve">There also appears to be a shift toward administrative and support funding at the expense of instruction </w:t>
      </w:r>
      <w:r w:rsidR="00587B4B">
        <w:rPr>
          <w:rFonts w:eastAsia="Times New Roman" w:cs="Courier New"/>
        </w:rPr>
        <w:t xml:space="preserve">over the past ten years. </w:t>
      </w:r>
      <w:r>
        <w:rPr>
          <w:rFonts w:eastAsia="Times New Roman" w:cs="Courier New"/>
        </w:rPr>
        <w:t xml:space="preserve">There are challenges in performing such an analysis and </w:t>
      </w:r>
      <w:r w:rsidR="00587B4B">
        <w:rPr>
          <w:rFonts w:eastAsia="Times New Roman" w:cs="Courier New"/>
        </w:rPr>
        <w:t xml:space="preserve">we are doing our best to analyze a complex situation with available information. </w:t>
      </w:r>
      <w:r>
        <w:rPr>
          <w:rFonts w:eastAsia="Times New Roman" w:cs="Courier New"/>
        </w:rPr>
        <w:t xml:space="preserve">While we believe our results are correct, we will be </w:t>
      </w:r>
      <w:r w:rsidR="00587B4B">
        <w:rPr>
          <w:rFonts w:eastAsia="Times New Roman" w:cs="Courier New"/>
        </w:rPr>
        <w:t>work</w:t>
      </w:r>
      <w:r>
        <w:rPr>
          <w:rFonts w:eastAsia="Times New Roman" w:cs="Courier New"/>
        </w:rPr>
        <w:t>ing</w:t>
      </w:r>
      <w:r w:rsidR="00587B4B">
        <w:rPr>
          <w:rFonts w:eastAsia="Times New Roman" w:cs="Courier New"/>
        </w:rPr>
        <w:t xml:space="preserve"> with the finance department to more closely examine these trends and report back in the fall with further analysis. </w:t>
      </w:r>
    </w:p>
    <w:p w:rsidR="00587B4B" w:rsidRDefault="00587B4B" w:rsidP="00434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b/>
        <w:t>The financials of the athletics department stand out in our analysis</w:t>
      </w:r>
      <w:r w:rsidR="00BB7269">
        <w:rPr>
          <w:rFonts w:eastAsia="Times New Roman" w:cs="Courier New"/>
        </w:rPr>
        <w:t xml:space="preserve"> of auxiliaries</w:t>
      </w:r>
      <w:r>
        <w:rPr>
          <w:rFonts w:eastAsia="Times New Roman" w:cs="Courier New"/>
        </w:rPr>
        <w:t xml:space="preserve">. First – the athletics department has done a </w:t>
      </w:r>
      <w:r w:rsidR="00215A8E">
        <w:rPr>
          <w:rFonts w:eastAsia="Times New Roman" w:cs="Courier New"/>
        </w:rPr>
        <w:t>commendable</w:t>
      </w:r>
      <w:r>
        <w:rPr>
          <w:rFonts w:eastAsia="Times New Roman" w:cs="Courier New"/>
        </w:rPr>
        <w:t xml:space="preserve"> job of increasing revenues – about 150% over the past ten years. They have also done a great job in working with the foundation – using donations directed towards athletics at the intent of donors – to generate external revenue. Having said this, expenses and salaries have also increased significantly in the athletics department, and there is a current liability of over $700k. While this is mostly due to unpaid vacation, eventually this bill will come due. General fund support for athletics has decreased in the last few years, but still exceeds 2001 levels by 7%. In an era in which </w:t>
      </w:r>
      <w:r w:rsidR="00BB7269">
        <w:rPr>
          <w:rFonts w:eastAsia="Times New Roman" w:cs="Courier New"/>
        </w:rPr>
        <w:t>fewer resources</w:t>
      </w:r>
      <w:r>
        <w:rPr>
          <w:rFonts w:eastAsia="Times New Roman" w:cs="Courier New"/>
        </w:rPr>
        <w:t xml:space="preserve"> are being devoted to hiring new assistant professors and S&amp;S budgets have stagnated, it would seem that the university could </w:t>
      </w:r>
      <w:r w:rsidR="00215A8E">
        <w:rPr>
          <w:rFonts w:eastAsia="Times New Roman" w:cs="Courier New"/>
        </w:rPr>
        <w:t xml:space="preserve">further reduce </w:t>
      </w:r>
      <w:r w:rsidR="00BB7269">
        <w:rPr>
          <w:rFonts w:eastAsia="Times New Roman" w:cs="Courier New"/>
        </w:rPr>
        <w:t>general fund support for auxiliary units to shore up academic programs.</w:t>
      </w:r>
      <w:r w:rsidR="00BB1BA5">
        <w:rPr>
          <w:rFonts w:eastAsia="Times New Roman" w:cs="Courier New"/>
        </w:rPr>
        <w:t xml:space="preserve"> </w:t>
      </w:r>
      <w:r w:rsidR="00215A8E">
        <w:rPr>
          <w:rFonts w:eastAsia="Times New Roman" w:cs="Courier New"/>
        </w:rPr>
        <w:t>Still</w:t>
      </w:r>
      <w:r w:rsidR="002A4CBA">
        <w:rPr>
          <w:rFonts w:eastAsia="Times New Roman" w:cs="Courier New"/>
        </w:rPr>
        <w:t>, o</w:t>
      </w:r>
      <w:r w:rsidR="00BB1BA5">
        <w:rPr>
          <w:rFonts w:eastAsia="Times New Roman" w:cs="Courier New"/>
        </w:rPr>
        <w:t xml:space="preserve">ther areas of the university might </w:t>
      </w:r>
      <w:r w:rsidR="002A4CBA">
        <w:rPr>
          <w:rFonts w:eastAsia="Times New Roman" w:cs="Courier New"/>
        </w:rPr>
        <w:t xml:space="preserve">consider examining the activities of the athletics department </w:t>
      </w:r>
      <w:r w:rsidR="00BB1BA5">
        <w:rPr>
          <w:rFonts w:eastAsia="Times New Roman" w:cs="Courier New"/>
        </w:rPr>
        <w:t xml:space="preserve">to learn </w:t>
      </w:r>
      <w:r w:rsidR="002A4CBA">
        <w:rPr>
          <w:rFonts w:eastAsia="Times New Roman" w:cs="Courier New"/>
        </w:rPr>
        <w:t xml:space="preserve">more about </w:t>
      </w:r>
      <w:r w:rsidR="00BB1BA5">
        <w:rPr>
          <w:rFonts w:eastAsia="Times New Roman" w:cs="Courier New"/>
        </w:rPr>
        <w:t>generating external revenue.</w:t>
      </w:r>
    </w:p>
    <w:p w:rsidR="009F2D25" w:rsidRDefault="00BB7269"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b/>
      </w:r>
      <w:r w:rsidR="004A3AA1">
        <w:rPr>
          <w:rFonts w:eastAsia="Times New Roman" w:cs="Courier New"/>
        </w:rPr>
        <w:t xml:space="preserve"> </w:t>
      </w:r>
      <w:r w:rsidR="000C5173">
        <w:rPr>
          <w:rFonts w:eastAsia="Times New Roman" w:cs="Courier New"/>
        </w:rPr>
        <w:t xml:space="preserve">We have also investigated the </w:t>
      </w:r>
      <w:r w:rsidR="00C75EBF">
        <w:rPr>
          <w:rFonts w:eastAsia="Times New Roman" w:cs="Courier New"/>
        </w:rPr>
        <w:t xml:space="preserve">impact program cuts have had on the university in recent years. For example, in looking back </w:t>
      </w:r>
      <w:r w:rsidR="000C5173">
        <w:rPr>
          <w:rFonts w:eastAsia="Times New Roman" w:cs="Courier New"/>
        </w:rPr>
        <w:t xml:space="preserve">on the MPLS closure </w:t>
      </w:r>
      <w:r w:rsidR="00C75EBF">
        <w:rPr>
          <w:rFonts w:eastAsia="Times New Roman" w:cs="Courier New"/>
        </w:rPr>
        <w:t xml:space="preserve">we </w:t>
      </w:r>
      <w:r w:rsidR="000C5173">
        <w:rPr>
          <w:rFonts w:eastAsia="Times New Roman" w:cs="Courier New"/>
        </w:rPr>
        <w:t xml:space="preserve">found that the actual financial impact on the university </w:t>
      </w:r>
      <w:r w:rsidR="00D10BDD">
        <w:rPr>
          <w:rFonts w:eastAsia="Times New Roman" w:cs="Courier New"/>
        </w:rPr>
        <w:t xml:space="preserve">was </w:t>
      </w:r>
      <w:r w:rsidR="00C76D7B">
        <w:rPr>
          <w:rFonts w:eastAsia="Times New Roman" w:cs="Courier New"/>
        </w:rPr>
        <w:t xml:space="preserve">not necessarily </w:t>
      </w:r>
      <w:r w:rsidR="00215A8E">
        <w:rPr>
          <w:rFonts w:eastAsia="Times New Roman" w:cs="Courier New"/>
        </w:rPr>
        <w:t xml:space="preserve">significant cost savings </w:t>
      </w:r>
      <w:r w:rsidR="00C76D7B">
        <w:rPr>
          <w:rFonts w:eastAsia="Times New Roman" w:cs="Courier New"/>
        </w:rPr>
        <w:t xml:space="preserve">but </w:t>
      </w:r>
      <w:r w:rsidR="00215A8E">
        <w:rPr>
          <w:rFonts w:eastAsia="Times New Roman" w:cs="Courier New"/>
        </w:rPr>
        <w:t xml:space="preserve">instead </w:t>
      </w:r>
      <w:r w:rsidR="00C76D7B">
        <w:rPr>
          <w:rFonts w:eastAsia="Times New Roman" w:cs="Courier New"/>
        </w:rPr>
        <w:t xml:space="preserve">appears to </w:t>
      </w:r>
      <w:r w:rsidR="00215A8E">
        <w:rPr>
          <w:rFonts w:eastAsia="Times New Roman" w:cs="Courier New"/>
        </w:rPr>
        <w:t xml:space="preserve">result in </w:t>
      </w:r>
      <w:r w:rsidR="00C76D7B">
        <w:rPr>
          <w:rFonts w:eastAsia="Times New Roman" w:cs="Courier New"/>
        </w:rPr>
        <w:t>a reallocation of resources</w:t>
      </w:r>
      <w:r w:rsidR="00215A8E">
        <w:rPr>
          <w:rFonts w:eastAsia="Times New Roman" w:cs="Courier New"/>
        </w:rPr>
        <w:t xml:space="preserve"> within the college of education</w:t>
      </w:r>
      <w:r w:rsidR="00C76D7B">
        <w:rPr>
          <w:rFonts w:eastAsia="Times New Roman" w:cs="Courier New"/>
        </w:rPr>
        <w:t xml:space="preserve">. The closure induced </w:t>
      </w:r>
      <w:r w:rsidR="000C5173">
        <w:rPr>
          <w:rFonts w:eastAsia="Times New Roman" w:cs="Courier New"/>
        </w:rPr>
        <w:t xml:space="preserve">one-time expenses of $2.5M and an </w:t>
      </w:r>
      <w:r w:rsidR="00F44A99">
        <w:rPr>
          <w:rFonts w:eastAsia="Times New Roman" w:cs="Courier New"/>
        </w:rPr>
        <w:t xml:space="preserve">annual </w:t>
      </w:r>
      <w:r w:rsidR="00C76D7B">
        <w:rPr>
          <w:rFonts w:eastAsia="Times New Roman" w:cs="Courier New"/>
        </w:rPr>
        <w:t>cost saving</w:t>
      </w:r>
      <w:r w:rsidR="003B6A5E">
        <w:rPr>
          <w:rFonts w:eastAsia="Times New Roman" w:cs="Courier New"/>
        </w:rPr>
        <w:t>s</w:t>
      </w:r>
      <w:r w:rsidR="00C76D7B">
        <w:rPr>
          <w:rFonts w:eastAsia="Times New Roman" w:cs="Courier New"/>
        </w:rPr>
        <w:t xml:space="preserve"> of about $200k. However, there were also significant expenses </w:t>
      </w:r>
      <w:r w:rsidR="00D10BDD">
        <w:rPr>
          <w:rFonts w:eastAsia="Times New Roman" w:cs="Courier New"/>
        </w:rPr>
        <w:t xml:space="preserve">not incurred </w:t>
      </w:r>
      <w:r w:rsidR="00F656FE">
        <w:rPr>
          <w:rFonts w:eastAsia="Times New Roman" w:cs="Courier New"/>
        </w:rPr>
        <w:t xml:space="preserve">by the university </w:t>
      </w:r>
      <w:r w:rsidR="00C76D7B">
        <w:rPr>
          <w:rFonts w:eastAsia="Times New Roman" w:cs="Courier New"/>
        </w:rPr>
        <w:t xml:space="preserve">from </w:t>
      </w:r>
      <w:r w:rsidR="00F656FE">
        <w:rPr>
          <w:rFonts w:eastAsia="Times New Roman" w:cs="Courier New"/>
        </w:rPr>
        <w:t xml:space="preserve">avoiding </w:t>
      </w:r>
      <w:r w:rsidR="00C76D7B">
        <w:rPr>
          <w:rFonts w:eastAsia="Times New Roman" w:cs="Courier New"/>
        </w:rPr>
        <w:t xml:space="preserve">deferred maintenance that could be estimated in the millions of dollars. One should also consider the </w:t>
      </w:r>
      <w:r w:rsidR="000C5173">
        <w:rPr>
          <w:rFonts w:eastAsia="Times New Roman" w:cs="Courier New"/>
        </w:rPr>
        <w:t xml:space="preserve">impact </w:t>
      </w:r>
      <w:r w:rsidR="00C76D7B">
        <w:rPr>
          <w:rFonts w:eastAsia="Times New Roman" w:cs="Courier New"/>
        </w:rPr>
        <w:t xml:space="preserve">of this closure </w:t>
      </w:r>
      <w:r w:rsidR="0033318E">
        <w:rPr>
          <w:rFonts w:eastAsia="Times New Roman" w:cs="Courier New"/>
        </w:rPr>
        <w:t xml:space="preserve">(and the associated program cuts of that year) </w:t>
      </w:r>
      <w:r w:rsidR="00C76D7B">
        <w:rPr>
          <w:rFonts w:eastAsia="Times New Roman" w:cs="Courier New"/>
        </w:rPr>
        <w:t xml:space="preserve">on </w:t>
      </w:r>
      <w:r w:rsidR="000C5173">
        <w:rPr>
          <w:rFonts w:eastAsia="Times New Roman" w:cs="Courier New"/>
        </w:rPr>
        <w:t xml:space="preserve">the reduction in enrollment </w:t>
      </w:r>
      <w:r w:rsidR="00C76D7B">
        <w:rPr>
          <w:rFonts w:eastAsia="Times New Roman" w:cs="Courier New"/>
        </w:rPr>
        <w:t xml:space="preserve">and tuition revenues </w:t>
      </w:r>
      <w:r w:rsidR="00C75EBF">
        <w:rPr>
          <w:rFonts w:eastAsia="Times New Roman" w:cs="Courier New"/>
        </w:rPr>
        <w:t>in the fall of 2012</w:t>
      </w:r>
      <w:r w:rsidR="00C76D7B">
        <w:rPr>
          <w:rFonts w:eastAsia="Times New Roman" w:cs="Courier New"/>
        </w:rPr>
        <w:t xml:space="preserve">. In total, </w:t>
      </w:r>
      <w:r w:rsidR="009F2D25">
        <w:rPr>
          <w:rFonts w:eastAsia="Times New Roman" w:cs="Courier New"/>
        </w:rPr>
        <w:t xml:space="preserve">net </w:t>
      </w:r>
      <w:r w:rsidR="00C76D7B">
        <w:rPr>
          <w:rFonts w:eastAsia="Times New Roman" w:cs="Courier New"/>
        </w:rPr>
        <w:t xml:space="preserve">tuition </w:t>
      </w:r>
      <w:r w:rsidR="009F2D25">
        <w:rPr>
          <w:rFonts w:eastAsia="Times New Roman" w:cs="Courier New"/>
        </w:rPr>
        <w:t xml:space="preserve">and fee </w:t>
      </w:r>
      <w:r w:rsidR="00C76D7B">
        <w:rPr>
          <w:rFonts w:eastAsia="Times New Roman" w:cs="Courier New"/>
        </w:rPr>
        <w:t xml:space="preserve">revenues in </w:t>
      </w:r>
      <w:r w:rsidR="009F2D25">
        <w:rPr>
          <w:rFonts w:eastAsia="Times New Roman" w:cs="Courier New"/>
        </w:rPr>
        <w:t xml:space="preserve">2011-2012 were $66M and $65M in 2012-2013, with the reduction in revenue from smaller incoming classes impacting current and at least near future revenues. It is impossible to know exactly what </w:t>
      </w:r>
      <w:r w:rsidR="0033318E">
        <w:rPr>
          <w:rFonts w:eastAsia="Times New Roman" w:cs="Courier New"/>
        </w:rPr>
        <w:t xml:space="preserve">direct </w:t>
      </w:r>
      <w:r w:rsidR="009F2D25">
        <w:rPr>
          <w:rFonts w:eastAsia="Times New Roman" w:cs="Courier New"/>
        </w:rPr>
        <w:t xml:space="preserve">impact closing MPLS had on </w:t>
      </w:r>
      <w:r w:rsidR="00215A8E">
        <w:rPr>
          <w:rFonts w:eastAsia="Times New Roman" w:cs="Courier New"/>
        </w:rPr>
        <w:t xml:space="preserve">tuition </w:t>
      </w:r>
      <w:r w:rsidR="009F2D25">
        <w:rPr>
          <w:rFonts w:eastAsia="Times New Roman" w:cs="Courier New"/>
        </w:rPr>
        <w:t xml:space="preserve">revenues but </w:t>
      </w:r>
      <w:r w:rsidR="0033318E">
        <w:rPr>
          <w:rFonts w:eastAsia="Times New Roman" w:cs="Courier New"/>
        </w:rPr>
        <w:t>there would seem to be some correlation</w:t>
      </w:r>
      <w:r w:rsidR="009F2D25">
        <w:rPr>
          <w:rFonts w:eastAsia="Times New Roman" w:cs="Courier New"/>
        </w:rPr>
        <w:t xml:space="preserve">. </w:t>
      </w:r>
    </w:p>
    <w:p w:rsidR="000E747A" w:rsidRDefault="00C76D7B"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b/>
      </w:r>
      <w:r w:rsidR="008B4D2F">
        <w:rPr>
          <w:rFonts w:eastAsia="Times New Roman" w:cs="Courier New"/>
        </w:rPr>
        <w:t xml:space="preserve">In comparing two major cuts </w:t>
      </w:r>
      <w:r w:rsidR="002A4CBA">
        <w:rPr>
          <w:rFonts w:eastAsia="Times New Roman" w:cs="Courier New"/>
        </w:rPr>
        <w:t xml:space="preserve">made to cut costs in response to budget cuts </w:t>
      </w:r>
      <w:r w:rsidR="008B4D2F">
        <w:rPr>
          <w:rFonts w:eastAsia="Times New Roman" w:cs="Courier New"/>
        </w:rPr>
        <w:t xml:space="preserve">at UNI in the past ten years – baseball in 2009 and the MPLS/academic program closures in 2012 – there were very different </w:t>
      </w:r>
      <w:r w:rsidR="002A4CBA">
        <w:rPr>
          <w:rFonts w:eastAsia="Times New Roman" w:cs="Courier New"/>
        </w:rPr>
        <w:t xml:space="preserve">outcomes for </w:t>
      </w:r>
      <w:r w:rsidR="008B4D2F">
        <w:rPr>
          <w:rFonts w:eastAsia="Times New Roman" w:cs="Courier New"/>
        </w:rPr>
        <w:t xml:space="preserve">the university. While ending baseball had no detectable impact on enrollment, enrollments dropped significantly after the academic closures. In addition to baseball not being an academic program, the decision to end baseball was made after analysis as a </w:t>
      </w:r>
      <w:r w:rsidR="003B6A5E">
        <w:rPr>
          <w:rFonts w:eastAsia="Times New Roman" w:cs="Courier New"/>
        </w:rPr>
        <w:t>reallocation</w:t>
      </w:r>
      <w:r w:rsidR="008B4D2F">
        <w:rPr>
          <w:rFonts w:eastAsia="Times New Roman" w:cs="Courier New"/>
        </w:rPr>
        <w:t xml:space="preserve"> </w:t>
      </w:r>
      <w:r w:rsidR="003B6A5E">
        <w:rPr>
          <w:rFonts w:eastAsia="Times New Roman" w:cs="Courier New"/>
        </w:rPr>
        <w:t xml:space="preserve">of resources </w:t>
      </w:r>
      <w:r w:rsidR="008B4D2F">
        <w:rPr>
          <w:rFonts w:eastAsia="Times New Roman" w:cs="Courier New"/>
        </w:rPr>
        <w:t>by its stakeholders, the athletics department. The academic closures were made quickly, in comparison, and did not significantly involve the stakeholders (faculty). These events show that care must be taken in undertaking cost-cutting measures in order to fully ascertain their effects on the university as a whole.</w:t>
      </w:r>
    </w:p>
    <w:p w:rsidR="000E747A" w:rsidRDefault="000E747A">
      <w:pPr>
        <w:rPr>
          <w:rFonts w:eastAsia="Times New Roman" w:cs="Courier New"/>
        </w:rPr>
      </w:pPr>
      <w:r>
        <w:rPr>
          <w:rFonts w:eastAsia="Times New Roman" w:cs="Courier New"/>
        </w:rPr>
        <w:br w:type="page"/>
      </w:r>
    </w:p>
    <w:p w:rsidR="000C61F4" w:rsidRPr="00194849" w:rsidRDefault="000C61F4"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4A042A" w:rsidRPr="00194849" w:rsidRDefault="004A042A"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4A042A" w:rsidRPr="00194849" w:rsidRDefault="004A042A" w:rsidP="004A042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194849">
        <w:rPr>
          <w:rFonts w:eastAsia="Times New Roman" w:cs="Courier New"/>
        </w:rPr>
        <w:t>Future outlook:</w:t>
      </w:r>
    </w:p>
    <w:p w:rsidR="004A042A" w:rsidRPr="00194849" w:rsidRDefault="004A042A" w:rsidP="004A0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Courier New"/>
        </w:rPr>
      </w:pPr>
    </w:p>
    <w:p w:rsidR="003B1C96" w:rsidRPr="00DF1D3D" w:rsidRDefault="002D31CD" w:rsidP="004A0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Courier New"/>
        </w:rPr>
      </w:pPr>
      <w:r>
        <w:rPr>
          <w:rFonts w:eastAsia="Times New Roman" w:cs="Courier New"/>
        </w:rPr>
        <w:tab/>
      </w:r>
      <w:r w:rsidR="004A042A" w:rsidRPr="00DF1D3D">
        <w:rPr>
          <w:rFonts w:eastAsia="Times New Roman" w:cs="Courier New"/>
        </w:rPr>
        <w:t xml:space="preserve">Given the current UNI budget </w:t>
      </w:r>
      <w:r w:rsidR="007E1D51">
        <w:rPr>
          <w:rFonts w:eastAsia="Times New Roman" w:cs="Courier New"/>
        </w:rPr>
        <w:t xml:space="preserve">passed </w:t>
      </w:r>
      <w:r w:rsidR="004A042A" w:rsidRPr="00DF1D3D">
        <w:rPr>
          <w:rFonts w:eastAsia="Times New Roman" w:cs="Courier New"/>
        </w:rPr>
        <w:t xml:space="preserve">by the </w:t>
      </w:r>
      <w:r w:rsidR="007E1D51">
        <w:rPr>
          <w:rFonts w:eastAsia="Times New Roman" w:cs="Courier New"/>
        </w:rPr>
        <w:t>state</w:t>
      </w:r>
      <w:r w:rsidR="0002540F">
        <w:rPr>
          <w:rFonts w:eastAsia="Times New Roman" w:cs="Courier New"/>
        </w:rPr>
        <w:t xml:space="preserve"> legislature</w:t>
      </w:r>
      <w:r w:rsidR="004A042A" w:rsidRPr="00DF1D3D">
        <w:rPr>
          <w:rFonts w:eastAsia="Times New Roman" w:cs="Courier New"/>
        </w:rPr>
        <w:t xml:space="preserve">, UNI should be in </w:t>
      </w:r>
      <w:r w:rsidR="003B1C96" w:rsidRPr="00DF1D3D">
        <w:rPr>
          <w:rFonts w:eastAsia="Times New Roman" w:cs="Courier New"/>
        </w:rPr>
        <w:t xml:space="preserve">moderate </w:t>
      </w:r>
      <w:r w:rsidR="004A042A" w:rsidRPr="00DF1D3D">
        <w:rPr>
          <w:rFonts w:eastAsia="Times New Roman" w:cs="Courier New"/>
        </w:rPr>
        <w:t>financial health for FY15 (AY 14-15</w:t>
      </w:r>
      <w:r w:rsidR="0087380E">
        <w:rPr>
          <w:rFonts w:eastAsia="Times New Roman" w:cs="Courier New"/>
        </w:rPr>
        <w:t>)</w:t>
      </w:r>
      <w:r w:rsidR="004A042A" w:rsidRPr="00DF1D3D">
        <w:rPr>
          <w:rFonts w:eastAsia="Times New Roman" w:cs="Courier New"/>
        </w:rPr>
        <w:t xml:space="preserve">. </w:t>
      </w:r>
      <w:r w:rsidR="0002540F">
        <w:rPr>
          <w:rFonts w:eastAsia="Times New Roman" w:cs="Courier New"/>
        </w:rPr>
        <w:t>T</w:t>
      </w:r>
      <w:r w:rsidR="007D7D2E">
        <w:rPr>
          <w:rFonts w:eastAsia="Times New Roman" w:cs="Courier New"/>
        </w:rPr>
        <w:t xml:space="preserve">he university </w:t>
      </w:r>
      <w:r w:rsidR="002A4CBA">
        <w:rPr>
          <w:rFonts w:eastAsia="Times New Roman" w:cs="Courier New"/>
        </w:rPr>
        <w:t xml:space="preserve">should have a net balance of </w:t>
      </w:r>
      <w:r w:rsidR="0002540F">
        <w:rPr>
          <w:rFonts w:eastAsia="Times New Roman" w:cs="Courier New"/>
        </w:rPr>
        <w:t>~</w:t>
      </w:r>
      <w:r w:rsidR="002A4CBA">
        <w:rPr>
          <w:rFonts w:eastAsia="Times New Roman" w:cs="Courier New"/>
        </w:rPr>
        <w:t>$90</w:t>
      </w:r>
      <w:r w:rsidR="007D7D2E">
        <w:rPr>
          <w:rFonts w:eastAsia="Times New Roman" w:cs="Courier New"/>
        </w:rPr>
        <w:t>0k including its tuition contingency fund</w:t>
      </w:r>
      <w:r w:rsidR="0002540F">
        <w:rPr>
          <w:rFonts w:eastAsia="Times New Roman" w:cs="Courier New"/>
        </w:rPr>
        <w:t xml:space="preserve"> </w:t>
      </w:r>
      <w:r w:rsidR="00D10BDD">
        <w:rPr>
          <w:rFonts w:eastAsia="Times New Roman" w:cs="Courier New"/>
        </w:rPr>
        <w:t xml:space="preserve">with </w:t>
      </w:r>
      <w:r w:rsidR="0002540F">
        <w:rPr>
          <w:rFonts w:eastAsia="Times New Roman" w:cs="Courier New"/>
        </w:rPr>
        <w:t>current enrollment estimates</w:t>
      </w:r>
      <w:r w:rsidR="007D7D2E">
        <w:rPr>
          <w:rFonts w:eastAsia="Times New Roman" w:cs="Courier New"/>
        </w:rPr>
        <w:t xml:space="preserve">. </w:t>
      </w:r>
      <w:r w:rsidR="004A042A" w:rsidRPr="00DF1D3D">
        <w:rPr>
          <w:rFonts w:eastAsia="Times New Roman" w:cs="Courier New"/>
        </w:rPr>
        <w:t>However, significant problems could occur as easily as FY 16 depending on state appropriations. Given current trend</w:t>
      </w:r>
      <w:r w:rsidR="00D10BDD">
        <w:rPr>
          <w:rFonts w:eastAsia="Times New Roman" w:cs="Courier New"/>
        </w:rPr>
        <w:t>s, expenses will increase by $4</w:t>
      </w:r>
      <w:r w:rsidR="004A042A" w:rsidRPr="00DF1D3D">
        <w:rPr>
          <w:rFonts w:eastAsia="Times New Roman" w:cs="Courier New"/>
        </w:rPr>
        <w:t xml:space="preserve">M and the one-time $4M state appropriation will end. </w:t>
      </w:r>
      <w:r w:rsidR="003B1C96" w:rsidRPr="00DF1D3D">
        <w:rPr>
          <w:rFonts w:eastAsia="Times New Roman" w:cs="Courier New"/>
        </w:rPr>
        <w:t xml:space="preserve">Projected tuition revenue is conservative, with </w:t>
      </w:r>
      <w:r w:rsidR="00131B12">
        <w:rPr>
          <w:rFonts w:eastAsia="Times New Roman" w:cs="Courier New"/>
        </w:rPr>
        <w:t>no net increase in our simple model</w:t>
      </w:r>
      <w:r w:rsidR="003B1C96" w:rsidRPr="00DF1D3D">
        <w:rPr>
          <w:rFonts w:eastAsia="Times New Roman" w:cs="Courier New"/>
        </w:rPr>
        <w:t xml:space="preserve">. </w:t>
      </w:r>
      <w:r w:rsidR="009F2D25">
        <w:rPr>
          <w:rFonts w:eastAsia="Times New Roman" w:cs="Courier New"/>
        </w:rPr>
        <w:t xml:space="preserve">However, given relatively small recent incoming classes, tuition revenues </w:t>
      </w:r>
      <w:r w:rsidR="00131B12">
        <w:rPr>
          <w:rFonts w:eastAsia="Times New Roman" w:cs="Courier New"/>
        </w:rPr>
        <w:t>can be</w:t>
      </w:r>
      <w:r w:rsidR="009F2D25">
        <w:rPr>
          <w:rFonts w:eastAsia="Times New Roman" w:cs="Courier New"/>
        </w:rPr>
        <w:t xml:space="preserve"> expected to hold at current levels even with improved enrollment for the near future. </w:t>
      </w:r>
    </w:p>
    <w:p w:rsidR="003B1C96" w:rsidRPr="00DF1D3D" w:rsidRDefault="002D31CD" w:rsidP="004A0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Courier New"/>
        </w:rPr>
      </w:pPr>
      <w:r>
        <w:rPr>
          <w:rFonts w:eastAsia="Times New Roman" w:cs="Courier New"/>
        </w:rPr>
        <w:tab/>
      </w:r>
      <w:r w:rsidR="003B1C96" w:rsidRPr="00DF1D3D">
        <w:rPr>
          <w:rFonts w:eastAsia="Times New Roman" w:cs="Courier New"/>
        </w:rPr>
        <w:t xml:space="preserve">In order for the university to operate </w:t>
      </w:r>
      <w:r w:rsidR="002A4CBA">
        <w:rPr>
          <w:rFonts w:eastAsia="Times New Roman" w:cs="Courier New"/>
        </w:rPr>
        <w:t xml:space="preserve">in its existing state for FY16 </w:t>
      </w:r>
      <w:r w:rsidR="003B1C96" w:rsidRPr="00DF1D3D">
        <w:rPr>
          <w:rFonts w:eastAsia="Times New Roman" w:cs="Courier New"/>
        </w:rPr>
        <w:t>2 years</w:t>
      </w:r>
      <w:r w:rsidR="009F2D25">
        <w:rPr>
          <w:rFonts w:eastAsia="Times New Roman" w:cs="Courier New"/>
        </w:rPr>
        <w:t xml:space="preserve"> from now</w:t>
      </w:r>
      <w:r w:rsidR="003B1C96" w:rsidRPr="00DF1D3D">
        <w:rPr>
          <w:rFonts w:eastAsia="Times New Roman" w:cs="Courier New"/>
        </w:rPr>
        <w:t>, there will need to be an inc</w:t>
      </w:r>
      <w:r w:rsidR="0002415A">
        <w:rPr>
          <w:rFonts w:eastAsia="Times New Roman" w:cs="Courier New"/>
        </w:rPr>
        <w:t>re</w:t>
      </w:r>
      <w:r w:rsidR="00D10BDD">
        <w:rPr>
          <w:rFonts w:eastAsia="Times New Roman" w:cs="Courier New"/>
        </w:rPr>
        <w:t xml:space="preserve">ase in revenue of </w:t>
      </w:r>
      <w:r>
        <w:rPr>
          <w:rFonts w:eastAsia="Times New Roman" w:cs="Courier New"/>
        </w:rPr>
        <w:t xml:space="preserve">about </w:t>
      </w:r>
      <w:r w:rsidR="00D10BDD">
        <w:rPr>
          <w:rFonts w:eastAsia="Times New Roman" w:cs="Courier New"/>
        </w:rPr>
        <w:t>$</w:t>
      </w:r>
      <w:r w:rsidR="00131B12">
        <w:rPr>
          <w:rFonts w:eastAsia="Times New Roman" w:cs="Courier New"/>
        </w:rPr>
        <w:t>8</w:t>
      </w:r>
      <w:r w:rsidR="003B1C96" w:rsidRPr="00DF1D3D">
        <w:rPr>
          <w:rFonts w:eastAsia="Times New Roman" w:cs="Courier New"/>
        </w:rPr>
        <w:t xml:space="preserve">M between state appropriations, increased enrollment, and tuition increases from the current proposed budget of FY15 (next year). </w:t>
      </w:r>
      <w:r w:rsidR="009F2D25">
        <w:rPr>
          <w:rFonts w:eastAsia="Times New Roman" w:cs="Courier New"/>
        </w:rPr>
        <w:t xml:space="preserve">Given current enrollment trends, it is expected that the bulk of this revenue will need to come from state appropriations. </w:t>
      </w:r>
      <w:r w:rsidR="00D10BDD">
        <w:rPr>
          <w:rFonts w:eastAsia="Times New Roman" w:cs="Courier New"/>
        </w:rPr>
        <w:t xml:space="preserve">For comparison, state appropriations increased by $6M for FY15. </w:t>
      </w:r>
      <w:r w:rsidR="000C61F4" w:rsidRPr="00DF1D3D">
        <w:rPr>
          <w:rFonts w:eastAsia="Times New Roman" w:cs="Courier New"/>
        </w:rPr>
        <w:t xml:space="preserve">The administration seems to appreciate this situation and appears to be working to address the funding situation. </w:t>
      </w:r>
      <w:r w:rsidR="0002415A">
        <w:rPr>
          <w:rFonts w:eastAsia="Times New Roman" w:cs="Courier New"/>
        </w:rPr>
        <w:t>The picture should become clear</w:t>
      </w:r>
      <w:r w:rsidR="009F2D25">
        <w:rPr>
          <w:rFonts w:eastAsia="Times New Roman" w:cs="Courier New"/>
        </w:rPr>
        <w:t>er</w:t>
      </w:r>
      <w:r w:rsidR="0002415A">
        <w:rPr>
          <w:rFonts w:eastAsia="Times New Roman" w:cs="Courier New"/>
        </w:rPr>
        <w:t xml:space="preserve"> </w:t>
      </w:r>
      <w:r w:rsidR="00F656FE">
        <w:rPr>
          <w:rFonts w:eastAsia="Times New Roman" w:cs="Courier New"/>
        </w:rPr>
        <w:t>by</w:t>
      </w:r>
      <w:r w:rsidR="0002415A">
        <w:rPr>
          <w:rFonts w:eastAsia="Times New Roman" w:cs="Courier New"/>
        </w:rPr>
        <w:t xml:space="preserve"> next fall given the course of the efficiency study and potential changes to how state appropriations are divided between the three </w:t>
      </w:r>
      <w:r>
        <w:rPr>
          <w:rFonts w:eastAsia="Times New Roman" w:cs="Courier New"/>
        </w:rPr>
        <w:t>regent’s</w:t>
      </w:r>
      <w:r w:rsidR="0002415A">
        <w:rPr>
          <w:rFonts w:eastAsia="Times New Roman" w:cs="Courier New"/>
        </w:rPr>
        <w:t xml:space="preserve"> universities.</w:t>
      </w:r>
      <w:r w:rsidR="00860039">
        <w:rPr>
          <w:rFonts w:eastAsia="Times New Roman" w:cs="Courier New"/>
        </w:rPr>
        <w:t xml:space="preserve"> To understand the level of cuts to the state appropriations, it is useful to compare to 2001, the year before major cuts began. The FY15 state appropriations is set at $89M. In 2001, it was $96.8M. Adjusted for inflation, the 2001 state appropriations would be $129M, an effective 44% reduction in state appropriations since 2001.</w:t>
      </w:r>
    </w:p>
    <w:p w:rsidR="003B1C96" w:rsidRPr="00DF1D3D" w:rsidRDefault="003B1C96" w:rsidP="004A0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Courier New"/>
        </w:rPr>
      </w:pPr>
    </w:p>
    <w:p w:rsidR="001E6C7F" w:rsidRPr="00DF1D3D" w:rsidRDefault="001E6C7F" w:rsidP="001E6C7F">
      <w:pPr>
        <w:ind w:firstLine="360"/>
        <w:rPr>
          <w:rFonts w:eastAsia="Times New Roman" w:cs="Courier New"/>
        </w:rPr>
      </w:pPr>
      <w:r w:rsidRPr="00DF1D3D">
        <w:rPr>
          <w:rFonts w:eastAsia="Times New Roman" w:cs="Courier New"/>
        </w:rPr>
        <w:t>II. Financial reserves</w:t>
      </w:r>
    </w:p>
    <w:p w:rsidR="001E6C7F" w:rsidRDefault="001E6C7F" w:rsidP="002D31CD">
      <w:pPr>
        <w:ind w:left="360" w:firstLine="360"/>
        <w:rPr>
          <w:rFonts w:eastAsia="Times New Roman" w:cs="Courier New"/>
        </w:rPr>
      </w:pPr>
      <w:r w:rsidRPr="00DF1D3D">
        <w:rPr>
          <w:rFonts w:eastAsia="Times New Roman" w:cs="Courier New"/>
        </w:rPr>
        <w:t xml:space="preserve">In general the university does not have money slated for “reserves” outside of the enrollment contingency fund, which is reserved for cases in which enrollment does not meet expectations. </w:t>
      </w:r>
      <w:r w:rsidR="00F77216" w:rsidRPr="00DF1D3D">
        <w:rPr>
          <w:rFonts w:eastAsia="Times New Roman" w:cs="Courier New"/>
        </w:rPr>
        <w:t xml:space="preserve">It is important to note that the designation “unrestricted” is an accounting term which does </w:t>
      </w:r>
      <w:r w:rsidR="00DF1D3D">
        <w:rPr>
          <w:rFonts w:eastAsia="Times New Roman" w:cs="Courier New"/>
        </w:rPr>
        <w:t>not</w:t>
      </w:r>
      <w:r w:rsidR="00F77216" w:rsidRPr="00DF1D3D">
        <w:rPr>
          <w:rFonts w:eastAsia="Times New Roman" w:cs="Courier New"/>
        </w:rPr>
        <w:t xml:space="preserve"> mean funds can be used for any </w:t>
      </w:r>
      <w:r w:rsidR="0087380E" w:rsidRPr="00DF1D3D">
        <w:rPr>
          <w:rFonts w:eastAsia="Times New Roman" w:cs="Courier New"/>
        </w:rPr>
        <w:t>purpose</w:t>
      </w:r>
      <w:r w:rsidR="00F77216" w:rsidRPr="00DF1D3D">
        <w:rPr>
          <w:rFonts w:eastAsia="Times New Roman" w:cs="Courier New"/>
        </w:rPr>
        <w:t>.</w:t>
      </w:r>
      <w:r w:rsidR="0087380E">
        <w:rPr>
          <w:rFonts w:eastAsia="Times New Roman" w:cs="Courier New"/>
        </w:rPr>
        <w:t xml:space="preserve"> </w:t>
      </w:r>
      <w:r w:rsidRPr="00DF1D3D">
        <w:rPr>
          <w:rFonts w:eastAsia="Times New Roman" w:cs="Courier New"/>
        </w:rPr>
        <w:t xml:space="preserve">The university typically uses a mixture of salary savings (putting off new hires), initiative funds of the president and provost, </w:t>
      </w:r>
      <w:r w:rsidR="00A96197" w:rsidRPr="00DF1D3D">
        <w:rPr>
          <w:rFonts w:eastAsia="Times New Roman" w:cs="Courier New"/>
        </w:rPr>
        <w:t xml:space="preserve">and other sources. The foundation has very limited “unrestricted” assets that could be used for financial emergencies, the Vision Fund. The Vision Fund currently has assets of $2M of which earnings of roughly $85k could be used for emergencies. For FY15 (next year) the expected reserves of the university are roughly $1.8M, although it would be expected that we could survive a shortfall of approximately double that </w:t>
      </w:r>
      <w:r w:rsidR="00A96197">
        <w:rPr>
          <w:rFonts w:eastAsia="Times New Roman" w:cs="Courier New"/>
        </w:rPr>
        <w:t>without immediate need for dramatic cuts.</w:t>
      </w:r>
      <w:r w:rsidR="000C61F4">
        <w:rPr>
          <w:rFonts w:eastAsia="Times New Roman" w:cs="Courier New"/>
        </w:rPr>
        <w:t xml:space="preserve"> In addition, each division, including academic affairs, can roll over up to 1% of its total budget for the next year which nominally creates a financial cushion for academic </w:t>
      </w:r>
      <w:r w:rsidR="00131B12">
        <w:rPr>
          <w:rFonts w:eastAsia="Times New Roman" w:cs="Courier New"/>
        </w:rPr>
        <w:t xml:space="preserve">and other </w:t>
      </w:r>
      <w:r w:rsidR="000C61F4">
        <w:rPr>
          <w:rFonts w:eastAsia="Times New Roman" w:cs="Courier New"/>
        </w:rPr>
        <w:t>programs.</w:t>
      </w:r>
    </w:p>
    <w:p w:rsidR="002D31CD" w:rsidRDefault="00E05CEB" w:rsidP="001E6C7F">
      <w:pPr>
        <w:ind w:left="360"/>
        <w:rPr>
          <w:rFonts w:eastAsia="Times New Roman" w:cs="Courier New"/>
        </w:rPr>
      </w:pPr>
      <w:r>
        <w:rPr>
          <w:rFonts w:eastAsia="Times New Roman" w:cs="Courier New"/>
        </w:rPr>
        <w:t>III. Faculty numbers</w:t>
      </w:r>
    </w:p>
    <w:p w:rsidR="00E05CEB" w:rsidRDefault="00E05CEB" w:rsidP="002D31CD">
      <w:pPr>
        <w:ind w:left="360" w:firstLine="360"/>
        <w:rPr>
          <w:rFonts w:eastAsia="Times New Roman" w:cs="Courier New"/>
        </w:rPr>
      </w:pPr>
      <w:r>
        <w:rPr>
          <w:rFonts w:eastAsia="Times New Roman" w:cs="Courier New"/>
        </w:rPr>
        <w:t>We have analyzed the priorities of t</w:t>
      </w:r>
      <w:r w:rsidR="00645D12">
        <w:rPr>
          <w:rFonts w:eastAsia="Times New Roman" w:cs="Courier New"/>
        </w:rPr>
        <w:t>he university based on the number</w:t>
      </w:r>
      <w:r>
        <w:rPr>
          <w:rFonts w:eastAsia="Times New Roman" w:cs="Courier New"/>
        </w:rPr>
        <w:t xml:space="preserve"> of instructors defined as tenured, tenure-track, full time non-tenure track, and part time non-tenure track since 2001. The number of tenured positions has held steady, but tenure-track positions have declined significantly starting in 2004</w:t>
      </w:r>
      <w:r w:rsidR="00BF242B">
        <w:rPr>
          <w:rFonts w:eastAsia="Times New Roman" w:cs="Courier New"/>
        </w:rPr>
        <w:t>, coinciding with cuts in state appropriations</w:t>
      </w:r>
      <w:r>
        <w:rPr>
          <w:rFonts w:eastAsia="Times New Roman" w:cs="Courier New"/>
        </w:rPr>
        <w:t xml:space="preserve">. At the same time, part time non-tenure </w:t>
      </w:r>
      <w:r>
        <w:rPr>
          <w:rFonts w:eastAsia="Times New Roman" w:cs="Courier New"/>
        </w:rPr>
        <w:lastRenderedPageBreak/>
        <w:t xml:space="preserve">track positions have risen. </w:t>
      </w:r>
      <w:r w:rsidR="00F77216">
        <w:rPr>
          <w:rFonts w:eastAsia="Times New Roman" w:cs="Courier New"/>
        </w:rPr>
        <w:t>The numbers indicate that the university is moving away from hiring assistant professors and towards adjuncts</w:t>
      </w:r>
      <w:r w:rsidR="009F2D25">
        <w:rPr>
          <w:rFonts w:eastAsia="Times New Roman" w:cs="Courier New"/>
        </w:rPr>
        <w:t xml:space="preserve"> in response to </w:t>
      </w:r>
      <w:r w:rsidR="00BF242B">
        <w:rPr>
          <w:rFonts w:eastAsia="Times New Roman" w:cs="Courier New"/>
        </w:rPr>
        <w:t xml:space="preserve">budget </w:t>
      </w:r>
      <w:r w:rsidR="009F2D25">
        <w:rPr>
          <w:rFonts w:eastAsia="Times New Roman" w:cs="Courier New"/>
        </w:rPr>
        <w:t>cuts</w:t>
      </w:r>
      <w:r w:rsidR="00BF242B">
        <w:rPr>
          <w:rFonts w:eastAsia="Times New Roman" w:cs="Courier New"/>
        </w:rPr>
        <w:t>.</w:t>
      </w:r>
      <w:r w:rsidR="00D10BDD">
        <w:rPr>
          <w:rFonts w:eastAsia="Times New Roman" w:cs="Courier New"/>
        </w:rPr>
        <w:t xml:space="preserve"> </w:t>
      </w:r>
    </w:p>
    <w:p w:rsidR="001718D1" w:rsidRDefault="001718D1" w:rsidP="0091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Courier New"/>
        </w:rPr>
      </w:pPr>
      <w:r w:rsidRPr="00194849">
        <w:t xml:space="preserve">IV. </w:t>
      </w:r>
      <w:r w:rsidRPr="00DE163F">
        <w:rPr>
          <w:rFonts w:eastAsia="Times New Roman" w:cs="Courier New"/>
        </w:rPr>
        <w:t xml:space="preserve">Expenses based on type </w:t>
      </w:r>
      <w:r>
        <w:rPr>
          <w:rFonts w:eastAsia="Times New Roman" w:cs="Courier New"/>
        </w:rPr>
        <w:t>and salary budgeting priorities</w:t>
      </w:r>
      <w:r w:rsidRPr="00194849">
        <w:rPr>
          <w:rFonts w:eastAsia="Times New Roman" w:cs="Courier New"/>
        </w:rPr>
        <w:t xml:space="preserve"> </w:t>
      </w:r>
    </w:p>
    <w:p w:rsidR="002D31CD" w:rsidRDefault="002D31CD" w:rsidP="0091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Courier New"/>
        </w:rPr>
      </w:pPr>
    </w:p>
    <w:p w:rsidR="001718D1" w:rsidRDefault="002D31CD" w:rsidP="0091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Courier New"/>
        </w:rPr>
      </w:pPr>
      <w:r>
        <w:rPr>
          <w:rFonts w:eastAsia="Times New Roman" w:cs="Courier New"/>
        </w:rPr>
        <w:tab/>
      </w:r>
      <w:r w:rsidR="001718D1">
        <w:rPr>
          <w:rFonts w:eastAsia="Times New Roman" w:cs="Courier New"/>
        </w:rPr>
        <w:t>Except for 2011, there has been a steady increase in salaries for institutional support (administration) and academic support at the expense of instruction. This year appears to be anomalous as there were no associated increases in the number of full time or part time (tenured, tenure-track, or adjunct) at this time</w:t>
      </w:r>
      <w:r w:rsidR="0087380E">
        <w:rPr>
          <w:rFonts w:eastAsia="Times New Roman" w:cs="Courier New"/>
        </w:rPr>
        <w:t xml:space="preserve">. This information bears further review as it could arise from one-time events (furloughs, early retirement incentives, etc…) or possibly </w:t>
      </w:r>
      <w:r w:rsidR="001718D1">
        <w:rPr>
          <w:rFonts w:eastAsia="Times New Roman" w:cs="Courier New"/>
        </w:rPr>
        <w:t xml:space="preserve">reclassification </w:t>
      </w:r>
      <w:r w:rsidR="0087380E">
        <w:rPr>
          <w:rFonts w:eastAsia="Times New Roman" w:cs="Courier New"/>
        </w:rPr>
        <w:t xml:space="preserve">of job titles </w:t>
      </w:r>
      <w:r w:rsidR="001718D1">
        <w:rPr>
          <w:rFonts w:eastAsia="Times New Roman" w:cs="Courier New"/>
        </w:rPr>
        <w:t xml:space="preserve">rather than a real increase in support for instruction. In addition, salaries in auxiliary units, especially athletics, have risen significantly more than salaries devoted to instruction. </w:t>
      </w:r>
      <w:r w:rsidR="009F2D25">
        <w:rPr>
          <w:rFonts w:eastAsia="Times New Roman" w:cs="Courier New"/>
        </w:rPr>
        <w:t>After examining these anomalies, a more refined analysis is needed and we will be working with the finance division in the coming months to achieve a clearer picture of these trends.</w:t>
      </w:r>
    </w:p>
    <w:p w:rsidR="001718D1" w:rsidRDefault="001718D1" w:rsidP="0091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Courier New"/>
        </w:rPr>
      </w:pPr>
    </w:p>
    <w:p w:rsidR="00737F3F" w:rsidRDefault="00737F3F" w:rsidP="0091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Courier New"/>
        </w:rPr>
      </w:pPr>
      <w:r>
        <w:rPr>
          <w:rFonts w:eastAsia="Times New Roman" w:cs="Courier New"/>
        </w:rPr>
        <w:t>V. Auxiliaries</w:t>
      </w:r>
    </w:p>
    <w:p w:rsidR="002D31CD" w:rsidRDefault="002D31CD" w:rsidP="0091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Courier New"/>
        </w:rPr>
      </w:pPr>
    </w:p>
    <w:p w:rsidR="00737F3F" w:rsidRDefault="002D31CD" w:rsidP="0091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Courier New"/>
        </w:rPr>
      </w:pPr>
      <w:r>
        <w:rPr>
          <w:rFonts w:eastAsia="Times New Roman" w:cs="Courier New"/>
        </w:rPr>
        <w:tab/>
      </w:r>
      <w:r w:rsidR="00737F3F">
        <w:rPr>
          <w:rFonts w:eastAsia="Times New Roman" w:cs="Courier New"/>
        </w:rPr>
        <w:t xml:space="preserve">Over the past four years, support for auxiliaries from the GEF has </w:t>
      </w:r>
      <w:r w:rsidR="007E1489">
        <w:rPr>
          <w:rFonts w:eastAsia="Times New Roman" w:cs="Courier New"/>
        </w:rPr>
        <w:t xml:space="preserve">fallen by about 7%. </w:t>
      </w:r>
      <w:r w:rsidR="007E1489" w:rsidRPr="00D94CDC">
        <w:rPr>
          <w:rFonts w:eastAsia="Times New Roman" w:cs="Courier New"/>
        </w:rPr>
        <w:t xml:space="preserve">However, certain areas </w:t>
      </w:r>
      <w:r>
        <w:rPr>
          <w:rFonts w:eastAsia="Times New Roman" w:cs="Courier New"/>
        </w:rPr>
        <w:t>stand out</w:t>
      </w:r>
      <w:r w:rsidR="007E1489" w:rsidRPr="00D94CDC">
        <w:rPr>
          <w:rFonts w:eastAsia="Times New Roman" w:cs="Courier New"/>
        </w:rPr>
        <w:t xml:space="preserve">, particularly athletics. </w:t>
      </w:r>
      <w:r w:rsidR="00D94CDC" w:rsidRPr="00D94CDC">
        <w:rPr>
          <w:bCs/>
        </w:rPr>
        <w:t xml:space="preserve">While GEF support for athletics has declined over the past four years, when we look at ten year trends, the picture is more complicated. </w:t>
      </w:r>
      <w:r w:rsidR="007E1489" w:rsidRPr="00D94CDC">
        <w:rPr>
          <w:rFonts w:eastAsia="Times New Roman" w:cs="Courier New"/>
        </w:rPr>
        <w:t>F</w:t>
      </w:r>
      <w:r w:rsidR="007E1489">
        <w:rPr>
          <w:rFonts w:eastAsia="Times New Roman" w:cs="Courier New"/>
        </w:rPr>
        <w:t xml:space="preserve">irst – the athletics department has done an exemplary job of increasing revenue. The foundation has also </w:t>
      </w:r>
      <w:r w:rsidR="00BB1BA5">
        <w:rPr>
          <w:rFonts w:eastAsia="Times New Roman" w:cs="Courier New"/>
        </w:rPr>
        <w:t xml:space="preserve">helped increase revenues </w:t>
      </w:r>
      <w:r w:rsidR="007E1489">
        <w:rPr>
          <w:rFonts w:eastAsia="Times New Roman" w:cs="Courier New"/>
        </w:rPr>
        <w:t xml:space="preserve">greatly (400%) over the past ten years. However, this increase in revenue has not been offset by a significant decrease in GEF support, which over ten years has risen by 7%. Also, the athletics department has a net liability which now exceeds $700k. </w:t>
      </w:r>
    </w:p>
    <w:p w:rsidR="007E1489" w:rsidRDefault="007E1489" w:rsidP="0091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Courier New"/>
        </w:rPr>
      </w:pPr>
    </w:p>
    <w:p w:rsidR="007E1489" w:rsidRDefault="007E1489" w:rsidP="0091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Courier New"/>
        </w:rPr>
      </w:pPr>
      <w:r>
        <w:rPr>
          <w:rFonts w:eastAsia="Times New Roman" w:cs="Courier New"/>
        </w:rPr>
        <w:t xml:space="preserve">VI. Special Report on </w:t>
      </w:r>
      <w:r w:rsidR="00DF1D3D">
        <w:rPr>
          <w:rFonts w:eastAsia="Times New Roman" w:cs="Courier New"/>
        </w:rPr>
        <w:t xml:space="preserve">Malcom Price Lab </w:t>
      </w:r>
      <w:r>
        <w:rPr>
          <w:rFonts w:eastAsia="Times New Roman" w:cs="Courier New"/>
        </w:rPr>
        <w:t>closure</w:t>
      </w:r>
    </w:p>
    <w:p w:rsidR="002D31CD" w:rsidRDefault="002D31CD" w:rsidP="0091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Courier New"/>
        </w:rPr>
      </w:pPr>
    </w:p>
    <w:p w:rsidR="003B6A5E" w:rsidRDefault="00DF1D3D" w:rsidP="0091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Courier New"/>
        </w:rPr>
      </w:pPr>
      <w:r>
        <w:rPr>
          <w:rFonts w:eastAsia="Times New Roman" w:cs="Courier New"/>
        </w:rPr>
        <w:tab/>
        <w:t>The closure of MPLS and renovation of the child daycare center (CDC) resulted in one-time expenses exceeding $2.5M including renovations in the final year of over $300k. Annual savings were r</w:t>
      </w:r>
      <w:r w:rsidR="00F44A99">
        <w:rPr>
          <w:rFonts w:eastAsia="Times New Roman" w:cs="Courier New"/>
        </w:rPr>
        <w:t>eported to be approximately $667</w:t>
      </w:r>
      <w:r>
        <w:rPr>
          <w:rFonts w:eastAsia="Times New Roman" w:cs="Courier New"/>
        </w:rPr>
        <w:t>k, however this does not include $2M in additional revenue from the state legislature</w:t>
      </w:r>
      <w:r w:rsidR="0099794C">
        <w:rPr>
          <w:rFonts w:eastAsia="Times New Roman" w:cs="Courier New"/>
        </w:rPr>
        <w:t xml:space="preserve"> which began the year before the school was closed</w:t>
      </w:r>
      <w:r>
        <w:rPr>
          <w:rFonts w:eastAsia="Times New Roman" w:cs="Courier New"/>
        </w:rPr>
        <w:t xml:space="preserve">. </w:t>
      </w:r>
      <w:r w:rsidR="00BB1BA5">
        <w:rPr>
          <w:rFonts w:eastAsia="Times New Roman" w:cs="Courier New"/>
        </w:rPr>
        <w:t xml:space="preserve">Analysis of the true impact of the closure is difficult, as one must consider the impact on enrollment and deferred maintenance costs. </w:t>
      </w:r>
      <w:r w:rsidR="00F05E9C">
        <w:rPr>
          <w:rFonts w:eastAsia="Times New Roman" w:cs="Courier New"/>
        </w:rPr>
        <w:t xml:space="preserve">The overall outcome </w:t>
      </w:r>
      <w:r w:rsidR="00BB1BA5">
        <w:rPr>
          <w:rFonts w:eastAsia="Times New Roman" w:cs="Courier New"/>
        </w:rPr>
        <w:t xml:space="preserve">appears to be a reallocation of resources to other academic areas within the college of education </w:t>
      </w:r>
      <w:r w:rsidR="003B6A5E">
        <w:rPr>
          <w:rFonts w:eastAsia="Times New Roman" w:cs="Courier New"/>
        </w:rPr>
        <w:t>with net savings of about $200k not taking into account deferred maintenance costs or impact on enrollment.</w:t>
      </w:r>
    </w:p>
    <w:p w:rsidR="00BB1BA5" w:rsidRDefault="003B6A5E" w:rsidP="0091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Courier New"/>
        </w:rPr>
      </w:pPr>
      <w:r>
        <w:rPr>
          <w:rFonts w:eastAsia="Times New Roman" w:cs="Courier New"/>
        </w:rPr>
        <w:t xml:space="preserve"> </w:t>
      </w:r>
    </w:p>
    <w:p w:rsidR="00F55C12" w:rsidRDefault="00F55C12" w:rsidP="0091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Courier New"/>
        </w:rPr>
      </w:pPr>
      <w:r>
        <w:rPr>
          <w:rFonts w:eastAsia="Times New Roman" w:cs="Courier New"/>
        </w:rPr>
        <w:t>VII. Impact of closures: Baseball 2009, MPLS/Academic Programs 2012</w:t>
      </w:r>
    </w:p>
    <w:p w:rsidR="002D31CD" w:rsidRDefault="002D31CD" w:rsidP="0091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Courier New"/>
        </w:rPr>
      </w:pPr>
    </w:p>
    <w:p w:rsidR="00F55C12" w:rsidRDefault="00F55C12" w:rsidP="0091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Courier New"/>
        </w:rPr>
      </w:pPr>
      <w:r>
        <w:rPr>
          <w:rFonts w:eastAsia="Times New Roman" w:cs="Courier New"/>
        </w:rPr>
        <w:tab/>
        <w:t>We examined the impact that cutting baseball had on enrollment and donations to the UNI foundation. We found no significant impact on ending the baseball program. However, individual year variations in donations can be very significant, so there could have been a</w:t>
      </w:r>
      <w:r w:rsidR="00131B12">
        <w:rPr>
          <w:rFonts w:eastAsia="Times New Roman" w:cs="Courier New"/>
        </w:rPr>
        <w:t>n</w:t>
      </w:r>
      <w:r>
        <w:rPr>
          <w:rFonts w:eastAsia="Times New Roman" w:cs="Courier New"/>
        </w:rPr>
        <w:t xml:space="preserve"> impact on donations which was washed out by single year events.</w:t>
      </w:r>
    </w:p>
    <w:p w:rsidR="00F55C12" w:rsidRDefault="00F55C12" w:rsidP="0091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Courier New"/>
        </w:rPr>
      </w:pPr>
      <w:r>
        <w:rPr>
          <w:rFonts w:eastAsia="Times New Roman" w:cs="Courier New"/>
        </w:rPr>
        <w:tab/>
        <w:t xml:space="preserve">We also examined the impact of closing MPLS and many academic programs in 2012. Again, there was no significant impact on donations, which can be strongly impacted by single year events (i.e. a single large donation, economy, etc…). However, the impact on enrollment was very significant and negative. </w:t>
      </w:r>
      <w:r w:rsidR="00C75EBF">
        <w:rPr>
          <w:rFonts w:eastAsia="Times New Roman" w:cs="Courier New"/>
        </w:rPr>
        <w:t>While there are other factors that influence enrollments such as Iowa demographics and increased competition from other regent</w:t>
      </w:r>
      <w:r w:rsidR="002D31CD">
        <w:rPr>
          <w:rFonts w:eastAsia="Times New Roman" w:cs="Courier New"/>
        </w:rPr>
        <w:t>’</w:t>
      </w:r>
      <w:r w:rsidR="00C75EBF">
        <w:rPr>
          <w:rFonts w:eastAsia="Times New Roman" w:cs="Courier New"/>
        </w:rPr>
        <w:t xml:space="preserve">s universities, it is very unlikely that </w:t>
      </w:r>
      <w:r w:rsidR="00C75EBF">
        <w:rPr>
          <w:rFonts w:eastAsia="Times New Roman" w:cs="Courier New"/>
        </w:rPr>
        <w:lastRenderedPageBreak/>
        <w:t>the drop in enrollment immediately following the closure of MPLS and many academic programs is coincidental.</w:t>
      </w:r>
    </w:p>
    <w:p w:rsidR="002D31CD" w:rsidRDefault="00F55C12" w:rsidP="00024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Courier New"/>
        </w:rPr>
      </w:pPr>
      <w:r>
        <w:rPr>
          <w:rFonts w:eastAsia="Times New Roman" w:cs="Courier New"/>
        </w:rPr>
        <w:tab/>
      </w:r>
      <w:r w:rsidR="008B4D2F">
        <w:rPr>
          <w:rFonts w:eastAsia="Times New Roman" w:cs="Courier New"/>
        </w:rPr>
        <w:t xml:space="preserve">The impact from the two different events was very different. Besides being a non-academic program, the decision to cut baseball was a calculated decision by the athletics department to </w:t>
      </w:r>
      <w:r w:rsidR="002D31CD">
        <w:rPr>
          <w:rFonts w:eastAsia="Times New Roman" w:cs="Courier New"/>
        </w:rPr>
        <w:t>reallocate resources</w:t>
      </w:r>
      <w:r w:rsidR="00BB1BA5">
        <w:rPr>
          <w:rFonts w:eastAsia="Times New Roman" w:cs="Courier New"/>
        </w:rPr>
        <w:t xml:space="preserve"> in response to overall budget cuts for the university</w:t>
      </w:r>
      <w:r w:rsidR="008B4D2F">
        <w:rPr>
          <w:rFonts w:eastAsia="Times New Roman" w:cs="Courier New"/>
        </w:rPr>
        <w:t>. In contrast, the decision to cut academic programs and MPLS</w:t>
      </w:r>
      <w:r w:rsidR="00BB1BA5">
        <w:rPr>
          <w:rFonts w:eastAsia="Times New Roman" w:cs="Courier New"/>
        </w:rPr>
        <w:t xml:space="preserve">, while also induced by budget cuts, seemed to be </w:t>
      </w:r>
      <w:r w:rsidR="008B4D2F">
        <w:rPr>
          <w:rFonts w:eastAsia="Times New Roman" w:cs="Courier New"/>
        </w:rPr>
        <w:t>made very quickly and did not involve the primary stakeholders (faculty) and so seemingly would not have taken into account all of the possible outcomes such cuts could have on the university as a whole.</w:t>
      </w:r>
      <w:r w:rsidR="0002415A">
        <w:rPr>
          <w:rFonts w:eastAsia="Times New Roman" w:cs="Courier New"/>
        </w:rPr>
        <w:t xml:space="preserve"> Examination of the outcomes of both events shows that cuts should be made in a careful manner to mitigate negative effects on the university.</w:t>
      </w:r>
    </w:p>
    <w:p w:rsidR="009151F1" w:rsidRDefault="009151F1" w:rsidP="00024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Courier New"/>
        </w:rPr>
      </w:pPr>
      <w:r>
        <w:rPr>
          <w:rFonts w:eastAsia="Times New Roman" w:cs="Courier New"/>
        </w:rPr>
        <w:br w:type="page"/>
      </w:r>
    </w:p>
    <w:p w:rsidR="00D15062" w:rsidRPr="00194849" w:rsidRDefault="00D15062"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194849">
        <w:rPr>
          <w:rFonts w:eastAsia="Times New Roman" w:cs="Courier New"/>
        </w:rPr>
        <w:lastRenderedPageBreak/>
        <w:t>Report</w:t>
      </w:r>
    </w:p>
    <w:p w:rsidR="00D15062" w:rsidRPr="00194849" w:rsidRDefault="00194849"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194849">
        <w:rPr>
          <w:rFonts w:eastAsia="Times New Roman" w:cs="Courier New"/>
        </w:rPr>
        <w:t xml:space="preserve"> </w:t>
      </w:r>
    </w:p>
    <w:p w:rsidR="00DE163F" w:rsidRPr="00194849" w:rsidRDefault="00DE163F" w:rsidP="0019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DE163F">
        <w:rPr>
          <w:rFonts w:eastAsia="Times New Roman" w:cs="Courier New"/>
        </w:rPr>
        <w:t xml:space="preserve">I. </w:t>
      </w:r>
      <w:r w:rsidR="00194849" w:rsidRPr="00194849">
        <w:rPr>
          <w:rFonts w:eastAsia="Times New Roman" w:cs="Courier New"/>
        </w:rPr>
        <w:t>Current and Near Future Budgets</w:t>
      </w:r>
    </w:p>
    <w:p w:rsidR="00DE163F" w:rsidRPr="00194849" w:rsidRDefault="00DE163F" w:rsidP="004A0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tbl>
      <w:tblPr>
        <w:tblW w:w="8856" w:type="dxa"/>
        <w:tblInd w:w="93" w:type="dxa"/>
        <w:tblLook w:val="04A0" w:firstRow="1" w:lastRow="0" w:firstColumn="1" w:lastColumn="0" w:noHBand="0" w:noVBand="1"/>
      </w:tblPr>
      <w:tblGrid>
        <w:gridCol w:w="1225"/>
        <w:gridCol w:w="1583"/>
        <w:gridCol w:w="1502"/>
        <w:gridCol w:w="1583"/>
        <w:gridCol w:w="1380"/>
        <w:gridCol w:w="1583"/>
      </w:tblGrid>
      <w:tr w:rsidR="00D10BDD" w:rsidRPr="00D10BDD" w:rsidTr="002D31CD">
        <w:trPr>
          <w:trHeight w:val="300"/>
        </w:trPr>
        <w:tc>
          <w:tcPr>
            <w:tcW w:w="1225"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D10BDD" w:rsidRPr="00D10BDD" w:rsidRDefault="00D10BD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 </w:t>
            </w:r>
          </w:p>
        </w:tc>
        <w:tc>
          <w:tcPr>
            <w:tcW w:w="15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10BDD" w:rsidRPr="00D10BDD" w:rsidRDefault="00D10BD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FY14 Budget</w:t>
            </w:r>
          </w:p>
        </w:tc>
        <w:tc>
          <w:tcPr>
            <w:tcW w:w="1502" w:type="dxa"/>
            <w:tcBorders>
              <w:top w:val="single" w:sz="8" w:space="0" w:color="auto"/>
              <w:left w:val="nil"/>
              <w:bottom w:val="nil"/>
              <w:right w:val="single" w:sz="8" w:space="0" w:color="auto"/>
            </w:tcBorders>
            <w:shd w:val="clear" w:color="auto" w:fill="auto"/>
            <w:noWrap/>
            <w:vAlign w:val="center"/>
            <w:hideMark/>
          </w:tcPr>
          <w:p w:rsidR="00D10BDD" w:rsidRPr="00D10BDD" w:rsidRDefault="00D10BD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Change 14-15</w:t>
            </w:r>
          </w:p>
        </w:tc>
        <w:tc>
          <w:tcPr>
            <w:tcW w:w="1583" w:type="dxa"/>
            <w:tcBorders>
              <w:top w:val="single" w:sz="8" w:space="0" w:color="auto"/>
              <w:left w:val="nil"/>
              <w:bottom w:val="nil"/>
              <w:right w:val="single" w:sz="8" w:space="0" w:color="auto"/>
            </w:tcBorders>
            <w:shd w:val="clear" w:color="auto" w:fill="auto"/>
            <w:noWrap/>
            <w:vAlign w:val="center"/>
            <w:hideMark/>
          </w:tcPr>
          <w:p w:rsidR="00D10BDD" w:rsidRPr="00D10BDD" w:rsidRDefault="00D10BD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 xml:space="preserve">FY15 Budget </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10BDD" w:rsidRPr="00D10BDD" w:rsidRDefault="00D10BDD" w:rsidP="00D10BDD">
            <w:pPr>
              <w:spacing w:after="0" w:line="240" w:lineRule="auto"/>
              <w:rPr>
                <w:rFonts w:eastAsia="Times New Roman" w:cs="Times New Roman"/>
                <w:color w:val="000000"/>
                <w:sz w:val="20"/>
                <w:szCs w:val="20"/>
              </w:rPr>
            </w:pPr>
            <w:r>
              <w:rPr>
                <w:rFonts w:eastAsia="Times New Roman" w:cs="Times New Roman"/>
                <w:color w:val="000000"/>
                <w:sz w:val="20"/>
                <w:szCs w:val="20"/>
              </w:rPr>
              <w:t>Change</w:t>
            </w:r>
            <w:r w:rsidRPr="00D10BDD">
              <w:rPr>
                <w:rFonts w:eastAsia="Times New Roman" w:cs="Times New Roman"/>
                <w:color w:val="000000"/>
                <w:sz w:val="20"/>
                <w:szCs w:val="20"/>
              </w:rPr>
              <w:t xml:space="preserve"> 15</w:t>
            </w:r>
            <w:r>
              <w:rPr>
                <w:rFonts w:eastAsia="Times New Roman" w:cs="Times New Roman"/>
                <w:color w:val="000000"/>
                <w:sz w:val="20"/>
                <w:szCs w:val="20"/>
              </w:rPr>
              <w:t>-1</w:t>
            </w:r>
            <w:r w:rsidRPr="00D10BDD">
              <w:rPr>
                <w:rFonts w:eastAsia="Times New Roman" w:cs="Times New Roman"/>
                <w:color w:val="000000"/>
                <w:sz w:val="20"/>
                <w:szCs w:val="20"/>
              </w:rPr>
              <w:t>6</w:t>
            </w:r>
          </w:p>
        </w:tc>
        <w:tc>
          <w:tcPr>
            <w:tcW w:w="15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10BDD" w:rsidRPr="00D10BDD" w:rsidRDefault="00D10BD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Estimate for 2016</w:t>
            </w:r>
          </w:p>
        </w:tc>
      </w:tr>
      <w:tr w:rsidR="00D10BDD" w:rsidRPr="00D10BDD" w:rsidTr="002D31CD">
        <w:trPr>
          <w:trHeight w:val="315"/>
        </w:trPr>
        <w:tc>
          <w:tcPr>
            <w:tcW w:w="1225" w:type="dxa"/>
            <w:vMerge/>
            <w:tcBorders>
              <w:top w:val="single" w:sz="8" w:space="0" w:color="auto"/>
              <w:left w:val="single" w:sz="8" w:space="0" w:color="auto"/>
              <w:bottom w:val="single" w:sz="8" w:space="0" w:color="000000"/>
              <w:right w:val="single" w:sz="8" w:space="0" w:color="auto"/>
            </w:tcBorders>
            <w:vAlign w:val="center"/>
            <w:hideMark/>
          </w:tcPr>
          <w:p w:rsidR="00D10BDD" w:rsidRPr="00D10BDD" w:rsidRDefault="00D10BDD" w:rsidP="00D10BDD">
            <w:pPr>
              <w:spacing w:after="0" w:line="240" w:lineRule="auto"/>
              <w:rPr>
                <w:rFonts w:eastAsia="Times New Roman" w:cs="Times New Roman"/>
                <w:color w:val="000000"/>
                <w:sz w:val="20"/>
                <w:szCs w:val="20"/>
              </w:rPr>
            </w:pPr>
          </w:p>
        </w:tc>
        <w:tc>
          <w:tcPr>
            <w:tcW w:w="1583" w:type="dxa"/>
            <w:vMerge/>
            <w:tcBorders>
              <w:top w:val="single" w:sz="8" w:space="0" w:color="auto"/>
              <w:left w:val="single" w:sz="8" w:space="0" w:color="auto"/>
              <w:bottom w:val="single" w:sz="8" w:space="0" w:color="000000"/>
              <w:right w:val="single" w:sz="8" w:space="0" w:color="auto"/>
            </w:tcBorders>
            <w:vAlign w:val="center"/>
            <w:hideMark/>
          </w:tcPr>
          <w:p w:rsidR="00D10BDD" w:rsidRPr="00D10BDD" w:rsidRDefault="00D10BDD" w:rsidP="00D10BDD">
            <w:pPr>
              <w:spacing w:after="0" w:line="240" w:lineRule="auto"/>
              <w:rPr>
                <w:rFonts w:eastAsia="Times New Roman" w:cs="Times New Roman"/>
                <w:color w:val="000000"/>
                <w:sz w:val="20"/>
                <w:szCs w:val="20"/>
              </w:rPr>
            </w:pPr>
          </w:p>
        </w:tc>
        <w:tc>
          <w:tcPr>
            <w:tcW w:w="1502" w:type="dxa"/>
            <w:tcBorders>
              <w:top w:val="nil"/>
              <w:left w:val="nil"/>
              <w:bottom w:val="single" w:sz="8" w:space="0" w:color="auto"/>
              <w:right w:val="single" w:sz="8" w:space="0" w:color="auto"/>
            </w:tcBorders>
            <w:shd w:val="clear" w:color="auto" w:fill="auto"/>
            <w:noWrap/>
            <w:vAlign w:val="center"/>
            <w:hideMark/>
          </w:tcPr>
          <w:p w:rsidR="00D10BDD" w:rsidRPr="00D10BDD" w:rsidRDefault="00D10BD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 </w:t>
            </w:r>
          </w:p>
        </w:tc>
        <w:tc>
          <w:tcPr>
            <w:tcW w:w="1583" w:type="dxa"/>
            <w:tcBorders>
              <w:top w:val="nil"/>
              <w:left w:val="nil"/>
              <w:bottom w:val="single" w:sz="8" w:space="0" w:color="auto"/>
              <w:right w:val="single" w:sz="8" w:space="0" w:color="auto"/>
            </w:tcBorders>
            <w:shd w:val="clear" w:color="auto" w:fill="auto"/>
            <w:noWrap/>
            <w:vAlign w:val="center"/>
            <w:hideMark/>
          </w:tcPr>
          <w:p w:rsidR="00D10BDD" w:rsidRPr="00D10BDD" w:rsidRDefault="00D10BD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 </w:t>
            </w: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D10BDD" w:rsidRPr="00D10BDD" w:rsidRDefault="00D10BDD" w:rsidP="00D10BDD">
            <w:pPr>
              <w:spacing w:after="0" w:line="240" w:lineRule="auto"/>
              <w:rPr>
                <w:rFonts w:eastAsia="Times New Roman" w:cs="Times New Roman"/>
                <w:color w:val="000000"/>
                <w:sz w:val="20"/>
                <w:szCs w:val="20"/>
              </w:rPr>
            </w:pPr>
          </w:p>
        </w:tc>
        <w:tc>
          <w:tcPr>
            <w:tcW w:w="1583" w:type="dxa"/>
            <w:vMerge/>
            <w:tcBorders>
              <w:top w:val="single" w:sz="8" w:space="0" w:color="auto"/>
              <w:left w:val="single" w:sz="8" w:space="0" w:color="auto"/>
              <w:bottom w:val="single" w:sz="8" w:space="0" w:color="000000"/>
              <w:right w:val="single" w:sz="8" w:space="0" w:color="auto"/>
            </w:tcBorders>
            <w:vAlign w:val="center"/>
            <w:hideMark/>
          </w:tcPr>
          <w:p w:rsidR="00D10BDD" w:rsidRPr="00D10BDD" w:rsidRDefault="00D10BDD" w:rsidP="00D10BDD">
            <w:pPr>
              <w:spacing w:after="0" w:line="240" w:lineRule="auto"/>
              <w:rPr>
                <w:rFonts w:eastAsia="Times New Roman" w:cs="Times New Roman"/>
                <w:color w:val="000000"/>
                <w:sz w:val="20"/>
                <w:szCs w:val="20"/>
              </w:rPr>
            </w:pP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state base</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$83,222,819.00 </w:t>
            </w:r>
          </w:p>
        </w:tc>
        <w:tc>
          <w:tcPr>
            <w:tcW w:w="1502"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$5,953,913.00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$89,176,732.00 </w:t>
            </w:r>
          </w:p>
        </w:tc>
        <w:tc>
          <w:tcPr>
            <w:tcW w:w="1380"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2D31CD" w:rsidRDefault="002D31CD">
            <w:pPr>
              <w:jc w:val="right"/>
              <w:rPr>
                <w:rFonts w:ascii="Calibri" w:hAnsi="Calibri"/>
                <w:color w:val="000000"/>
                <w:sz w:val="20"/>
                <w:szCs w:val="20"/>
              </w:rPr>
            </w:pPr>
            <w:r w:rsidRPr="002D31CD">
              <w:rPr>
                <w:rFonts w:ascii="Calibri" w:hAnsi="Calibri"/>
                <w:color w:val="000000"/>
                <w:sz w:val="20"/>
                <w:szCs w:val="20"/>
              </w:rPr>
              <w:t xml:space="preserve">$89,176,732.00 </w:t>
            </w: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state 1 time</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$6,000,000.00 </w:t>
            </w:r>
          </w:p>
        </w:tc>
        <w:tc>
          <w:tcPr>
            <w:tcW w:w="1502"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FF0000"/>
                <w:sz w:val="20"/>
                <w:szCs w:val="20"/>
              </w:rPr>
              <w:t>($2,000,000.00)</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$4,000,000.00 </w:t>
            </w:r>
          </w:p>
        </w:tc>
        <w:tc>
          <w:tcPr>
            <w:tcW w:w="1380"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2D31CD" w:rsidRDefault="002D31CD">
            <w:pPr>
              <w:jc w:val="right"/>
              <w:rPr>
                <w:rFonts w:ascii="Calibri" w:hAnsi="Calibri"/>
                <w:color w:val="000000"/>
                <w:sz w:val="20"/>
                <w:szCs w:val="20"/>
              </w:rPr>
            </w:pPr>
            <w:r w:rsidRPr="002D31CD">
              <w:rPr>
                <w:rFonts w:ascii="Calibri" w:hAnsi="Calibri"/>
                <w:color w:val="000000"/>
                <w:sz w:val="20"/>
                <w:szCs w:val="20"/>
              </w:rPr>
              <w:t xml:space="preserve">$0.00 </w:t>
            </w: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Interest</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$821,000.00 </w:t>
            </w:r>
          </w:p>
        </w:tc>
        <w:tc>
          <w:tcPr>
            <w:tcW w:w="1502"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$821,000.00 </w:t>
            </w:r>
          </w:p>
        </w:tc>
        <w:tc>
          <w:tcPr>
            <w:tcW w:w="1380"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2D31CD" w:rsidRDefault="002D31CD">
            <w:pPr>
              <w:jc w:val="right"/>
              <w:rPr>
                <w:rFonts w:ascii="Calibri" w:hAnsi="Calibri"/>
                <w:color w:val="000000"/>
                <w:sz w:val="20"/>
                <w:szCs w:val="20"/>
              </w:rPr>
            </w:pPr>
            <w:r w:rsidRPr="002D31CD">
              <w:rPr>
                <w:rFonts w:ascii="Calibri" w:hAnsi="Calibri"/>
                <w:color w:val="000000"/>
                <w:sz w:val="20"/>
                <w:szCs w:val="20"/>
              </w:rPr>
              <w:t xml:space="preserve">$821,000.00 </w:t>
            </w: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tuition UR</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$57,550,029.00 </w:t>
            </w:r>
          </w:p>
        </w:tc>
        <w:tc>
          <w:tcPr>
            <w:tcW w:w="1502"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$57,550,029.00 </w:t>
            </w:r>
          </w:p>
        </w:tc>
        <w:tc>
          <w:tcPr>
            <w:tcW w:w="1380"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2D31CD" w:rsidRDefault="002D31CD">
            <w:pPr>
              <w:jc w:val="right"/>
              <w:rPr>
                <w:rFonts w:ascii="Calibri" w:hAnsi="Calibri"/>
                <w:color w:val="000000"/>
                <w:sz w:val="20"/>
                <w:szCs w:val="20"/>
              </w:rPr>
            </w:pPr>
            <w:r w:rsidRPr="002D31CD">
              <w:rPr>
                <w:rFonts w:ascii="Calibri" w:hAnsi="Calibri"/>
                <w:color w:val="000000"/>
                <w:sz w:val="20"/>
                <w:szCs w:val="20"/>
              </w:rPr>
              <w:t xml:space="preserve">$57,550,029.00 </w:t>
            </w: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tuition UNR</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$12,333,414.00 </w:t>
            </w:r>
          </w:p>
        </w:tc>
        <w:tc>
          <w:tcPr>
            <w:tcW w:w="1502"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$308,335.00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$12,641,749.00 </w:t>
            </w:r>
          </w:p>
        </w:tc>
        <w:tc>
          <w:tcPr>
            <w:tcW w:w="1380"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2D31CD" w:rsidRDefault="002D31CD">
            <w:pPr>
              <w:jc w:val="right"/>
              <w:rPr>
                <w:rFonts w:ascii="Calibri" w:hAnsi="Calibri"/>
                <w:color w:val="000000"/>
                <w:sz w:val="20"/>
                <w:szCs w:val="20"/>
              </w:rPr>
            </w:pPr>
            <w:r w:rsidRPr="002D31CD">
              <w:rPr>
                <w:rFonts w:ascii="Calibri" w:hAnsi="Calibri"/>
                <w:color w:val="000000"/>
                <w:sz w:val="20"/>
                <w:szCs w:val="20"/>
              </w:rPr>
              <w:t xml:space="preserve">$12,641,749.00 </w:t>
            </w: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tuition GR</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$5,414,771.00 </w:t>
            </w:r>
          </w:p>
        </w:tc>
        <w:tc>
          <w:tcPr>
            <w:tcW w:w="1502"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$108,295.00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$5,523,066.00 </w:t>
            </w:r>
          </w:p>
        </w:tc>
        <w:tc>
          <w:tcPr>
            <w:tcW w:w="1380"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2D31CD" w:rsidRDefault="002D31CD">
            <w:pPr>
              <w:jc w:val="right"/>
              <w:rPr>
                <w:rFonts w:ascii="Calibri" w:hAnsi="Calibri"/>
                <w:color w:val="000000"/>
                <w:sz w:val="20"/>
                <w:szCs w:val="20"/>
              </w:rPr>
            </w:pPr>
            <w:r w:rsidRPr="002D31CD">
              <w:rPr>
                <w:rFonts w:ascii="Calibri" w:hAnsi="Calibri"/>
                <w:color w:val="000000"/>
                <w:sz w:val="20"/>
                <w:szCs w:val="20"/>
              </w:rPr>
              <w:t xml:space="preserve">$5,523,066.00 </w:t>
            </w: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tuition GNR</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$763,422.00 </w:t>
            </w:r>
          </w:p>
        </w:tc>
        <w:tc>
          <w:tcPr>
            <w:tcW w:w="1502"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$19,086.00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$782,508.00 </w:t>
            </w:r>
          </w:p>
        </w:tc>
        <w:tc>
          <w:tcPr>
            <w:tcW w:w="1380"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2D31CD" w:rsidRDefault="002D31CD">
            <w:pPr>
              <w:jc w:val="right"/>
              <w:rPr>
                <w:rFonts w:ascii="Calibri" w:hAnsi="Calibri"/>
                <w:color w:val="000000"/>
                <w:sz w:val="20"/>
                <w:szCs w:val="20"/>
              </w:rPr>
            </w:pPr>
            <w:r w:rsidRPr="002D31CD">
              <w:rPr>
                <w:rFonts w:ascii="Calibri" w:hAnsi="Calibri"/>
                <w:color w:val="000000"/>
                <w:sz w:val="20"/>
                <w:szCs w:val="20"/>
              </w:rPr>
              <w:t xml:space="preserve">$782,508.00 </w:t>
            </w: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new student</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02"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$392,232.00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$392,232.00 </w:t>
            </w:r>
          </w:p>
        </w:tc>
        <w:tc>
          <w:tcPr>
            <w:tcW w:w="1380"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2D31CD" w:rsidRDefault="002D31CD">
            <w:pPr>
              <w:jc w:val="right"/>
              <w:rPr>
                <w:rFonts w:ascii="Calibri" w:hAnsi="Calibri"/>
                <w:color w:val="000000"/>
                <w:sz w:val="20"/>
                <w:szCs w:val="20"/>
              </w:rPr>
            </w:pPr>
            <w:r w:rsidRPr="002D31CD">
              <w:rPr>
                <w:rFonts w:ascii="Calibri" w:hAnsi="Calibri"/>
                <w:color w:val="000000"/>
                <w:sz w:val="20"/>
                <w:szCs w:val="20"/>
              </w:rPr>
              <w:t xml:space="preserve">$392,232.00 </w:t>
            </w: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 xml:space="preserve">    Total Tuition</w:t>
            </w:r>
          </w:p>
        </w:tc>
        <w:tc>
          <w:tcPr>
            <w:tcW w:w="1583" w:type="dxa"/>
            <w:tcBorders>
              <w:top w:val="nil"/>
              <w:left w:val="nil"/>
              <w:bottom w:val="single" w:sz="8" w:space="0" w:color="auto"/>
              <w:right w:val="single" w:sz="8" w:space="0" w:color="auto"/>
            </w:tcBorders>
            <w:shd w:val="clear" w:color="000000" w:fill="F2F2F2"/>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$76,061,636.00 </w:t>
            </w:r>
          </w:p>
        </w:tc>
        <w:tc>
          <w:tcPr>
            <w:tcW w:w="1502" w:type="dxa"/>
            <w:tcBorders>
              <w:top w:val="nil"/>
              <w:left w:val="nil"/>
              <w:bottom w:val="single" w:sz="8" w:space="0" w:color="auto"/>
              <w:right w:val="single" w:sz="8" w:space="0" w:color="auto"/>
            </w:tcBorders>
            <w:shd w:val="clear" w:color="000000" w:fill="F2F2F2"/>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$827,948.00 </w:t>
            </w:r>
          </w:p>
        </w:tc>
        <w:tc>
          <w:tcPr>
            <w:tcW w:w="1583" w:type="dxa"/>
            <w:tcBorders>
              <w:top w:val="nil"/>
              <w:left w:val="nil"/>
              <w:bottom w:val="single" w:sz="8" w:space="0" w:color="auto"/>
              <w:right w:val="single" w:sz="8" w:space="0" w:color="auto"/>
            </w:tcBorders>
            <w:shd w:val="clear" w:color="000000" w:fill="F2F2F2"/>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$76,889,584.00 </w:t>
            </w:r>
          </w:p>
        </w:tc>
        <w:tc>
          <w:tcPr>
            <w:tcW w:w="1380" w:type="dxa"/>
            <w:tcBorders>
              <w:top w:val="nil"/>
              <w:left w:val="nil"/>
              <w:bottom w:val="single" w:sz="8" w:space="0" w:color="auto"/>
              <w:right w:val="single" w:sz="8" w:space="0" w:color="auto"/>
            </w:tcBorders>
            <w:shd w:val="clear" w:color="000000" w:fill="F2F2F2"/>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83" w:type="dxa"/>
            <w:tcBorders>
              <w:top w:val="nil"/>
              <w:left w:val="nil"/>
              <w:bottom w:val="single" w:sz="8" w:space="0" w:color="auto"/>
              <w:right w:val="single" w:sz="8" w:space="0" w:color="auto"/>
            </w:tcBorders>
            <w:shd w:val="clear" w:color="000000" w:fill="F2F2F2"/>
            <w:noWrap/>
            <w:vAlign w:val="center"/>
            <w:hideMark/>
          </w:tcPr>
          <w:p w:rsidR="002D31CD" w:rsidRPr="002D31CD" w:rsidRDefault="002D31CD">
            <w:pPr>
              <w:jc w:val="right"/>
              <w:rPr>
                <w:rFonts w:ascii="Calibri" w:hAnsi="Calibri"/>
                <w:color w:val="000000"/>
                <w:sz w:val="20"/>
                <w:szCs w:val="20"/>
              </w:rPr>
            </w:pPr>
            <w:r w:rsidRPr="002D31CD">
              <w:rPr>
                <w:rFonts w:ascii="Calibri" w:hAnsi="Calibri"/>
                <w:color w:val="000000"/>
                <w:sz w:val="20"/>
                <w:szCs w:val="20"/>
              </w:rPr>
              <w:t xml:space="preserve">$76,889,584.00 </w:t>
            </w: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Indirect</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$1,316,649.00 </w:t>
            </w:r>
          </w:p>
        </w:tc>
        <w:tc>
          <w:tcPr>
            <w:tcW w:w="1502"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$1,316,649.00 </w:t>
            </w:r>
          </w:p>
        </w:tc>
        <w:tc>
          <w:tcPr>
            <w:tcW w:w="1380"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2D31CD" w:rsidRDefault="002D31CD">
            <w:pPr>
              <w:jc w:val="right"/>
              <w:rPr>
                <w:rFonts w:ascii="Calibri" w:hAnsi="Calibri"/>
                <w:color w:val="000000"/>
                <w:sz w:val="20"/>
                <w:szCs w:val="20"/>
              </w:rPr>
            </w:pPr>
            <w:r w:rsidRPr="002D31CD">
              <w:rPr>
                <w:rFonts w:ascii="Calibri" w:hAnsi="Calibri"/>
                <w:color w:val="000000"/>
                <w:sz w:val="20"/>
                <w:szCs w:val="20"/>
              </w:rPr>
              <w:t xml:space="preserve">$1,316,649.00 </w:t>
            </w: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Sales</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$483,393.00 </w:t>
            </w:r>
          </w:p>
        </w:tc>
        <w:tc>
          <w:tcPr>
            <w:tcW w:w="1502"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$483,393.00 </w:t>
            </w:r>
          </w:p>
        </w:tc>
        <w:tc>
          <w:tcPr>
            <w:tcW w:w="1380"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2D31CD" w:rsidRDefault="002D31CD">
            <w:pPr>
              <w:jc w:val="right"/>
              <w:rPr>
                <w:rFonts w:ascii="Calibri" w:hAnsi="Calibri"/>
                <w:color w:val="000000"/>
                <w:sz w:val="20"/>
                <w:szCs w:val="20"/>
              </w:rPr>
            </w:pPr>
            <w:r w:rsidRPr="002D31CD">
              <w:rPr>
                <w:rFonts w:ascii="Calibri" w:hAnsi="Calibri"/>
                <w:color w:val="000000"/>
                <w:sz w:val="20"/>
                <w:szCs w:val="20"/>
              </w:rPr>
              <w:t xml:space="preserve">$483,393.00 </w:t>
            </w: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total revenue</w:t>
            </w:r>
          </w:p>
        </w:tc>
        <w:tc>
          <w:tcPr>
            <w:tcW w:w="1583" w:type="dxa"/>
            <w:tcBorders>
              <w:top w:val="nil"/>
              <w:left w:val="nil"/>
              <w:bottom w:val="single" w:sz="8" w:space="0" w:color="auto"/>
              <w:right w:val="single" w:sz="8" w:space="0" w:color="auto"/>
            </w:tcBorders>
            <w:shd w:val="clear" w:color="000000" w:fill="D9D9D9"/>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$167,905,497.00 </w:t>
            </w:r>
          </w:p>
        </w:tc>
        <w:tc>
          <w:tcPr>
            <w:tcW w:w="1502" w:type="dxa"/>
            <w:tcBorders>
              <w:top w:val="nil"/>
              <w:left w:val="nil"/>
              <w:bottom w:val="single" w:sz="8" w:space="0" w:color="auto"/>
              <w:right w:val="single" w:sz="8" w:space="0" w:color="auto"/>
            </w:tcBorders>
            <w:shd w:val="clear" w:color="000000" w:fill="D9D9D9"/>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$4,781,861.00 </w:t>
            </w:r>
          </w:p>
        </w:tc>
        <w:tc>
          <w:tcPr>
            <w:tcW w:w="1583" w:type="dxa"/>
            <w:tcBorders>
              <w:top w:val="nil"/>
              <w:left w:val="nil"/>
              <w:bottom w:val="single" w:sz="8" w:space="0" w:color="auto"/>
              <w:right w:val="single" w:sz="8" w:space="0" w:color="auto"/>
            </w:tcBorders>
            <w:shd w:val="clear" w:color="000000" w:fill="D9D9D9"/>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$172,687,358.00 </w:t>
            </w:r>
          </w:p>
        </w:tc>
        <w:tc>
          <w:tcPr>
            <w:tcW w:w="1380" w:type="dxa"/>
            <w:tcBorders>
              <w:top w:val="nil"/>
              <w:left w:val="nil"/>
              <w:bottom w:val="single" w:sz="8" w:space="0" w:color="auto"/>
              <w:right w:val="single" w:sz="8" w:space="0" w:color="auto"/>
            </w:tcBorders>
            <w:shd w:val="clear" w:color="000000" w:fill="D9D9D9"/>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83" w:type="dxa"/>
            <w:tcBorders>
              <w:top w:val="nil"/>
              <w:left w:val="nil"/>
              <w:bottom w:val="single" w:sz="8" w:space="0" w:color="auto"/>
              <w:right w:val="single" w:sz="8" w:space="0" w:color="auto"/>
            </w:tcBorders>
            <w:shd w:val="clear" w:color="000000" w:fill="D9D9D9"/>
            <w:noWrap/>
            <w:vAlign w:val="center"/>
            <w:hideMark/>
          </w:tcPr>
          <w:p w:rsidR="002D31CD" w:rsidRPr="002D31CD" w:rsidRDefault="002D31CD">
            <w:pPr>
              <w:jc w:val="right"/>
              <w:rPr>
                <w:rFonts w:ascii="Calibri" w:hAnsi="Calibri"/>
                <w:color w:val="000000"/>
                <w:sz w:val="20"/>
                <w:szCs w:val="20"/>
              </w:rPr>
            </w:pPr>
            <w:r w:rsidRPr="002D31CD">
              <w:rPr>
                <w:rFonts w:ascii="Calibri" w:hAnsi="Calibri"/>
                <w:color w:val="000000"/>
                <w:sz w:val="20"/>
                <w:szCs w:val="20"/>
              </w:rPr>
              <w:t xml:space="preserve">$168,687,358.00 </w:t>
            </w: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 </w:t>
            </w:r>
          </w:p>
        </w:tc>
        <w:tc>
          <w:tcPr>
            <w:tcW w:w="1583" w:type="dxa"/>
            <w:tcBorders>
              <w:top w:val="nil"/>
              <w:left w:val="nil"/>
              <w:bottom w:val="single" w:sz="8" w:space="0" w:color="auto"/>
              <w:right w:val="single" w:sz="8" w:space="0" w:color="auto"/>
            </w:tcBorders>
            <w:shd w:val="clear" w:color="auto" w:fill="auto"/>
            <w:noWrap/>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 </w:t>
            </w:r>
          </w:p>
        </w:tc>
        <w:tc>
          <w:tcPr>
            <w:tcW w:w="1502"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w:t>
            </w:r>
          </w:p>
        </w:tc>
        <w:tc>
          <w:tcPr>
            <w:tcW w:w="1583" w:type="dxa"/>
            <w:tcBorders>
              <w:top w:val="nil"/>
              <w:left w:val="nil"/>
              <w:bottom w:val="single" w:sz="8" w:space="0" w:color="auto"/>
              <w:right w:val="single" w:sz="8" w:space="0" w:color="auto"/>
            </w:tcBorders>
            <w:shd w:val="clear" w:color="auto" w:fill="auto"/>
            <w:noWrap/>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 </w:t>
            </w:r>
          </w:p>
        </w:tc>
        <w:tc>
          <w:tcPr>
            <w:tcW w:w="1380"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w:t>
            </w:r>
          </w:p>
        </w:tc>
        <w:tc>
          <w:tcPr>
            <w:tcW w:w="1583" w:type="dxa"/>
            <w:tcBorders>
              <w:top w:val="nil"/>
              <w:left w:val="nil"/>
              <w:bottom w:val="single" w:sz="8" w:space="0" w:color="auto"/>
              <w:right w:val="single" w:sz="8" w:space="0" w:color="auto"/>
            </w:tcBorders>
            <w:shd w:val="clear" w:color="auto" w:fill="auto"/>
            <w:noWrap/>
            <w:hideMark/>
          </w:tcPr>
          <w:p w:rsidR="002D31CD" w:rsidRPr="002D31CD" w:rsidRDefault="002D31CD">
            <w:pPr>
              <w:rPr>
                <w:rFonts w:ascii="Calibri" w:hAnsi="Calibri"/>
                <w:color w:val="000000"/>
                <w:sz w:val="20"/>
                <w:szCs w:val="20"/>
              </w:rPr>
            </w:pPr>
            <w:r w:rsidRPr="002D31CD">
              <w:rPr>
                <w:rFonts w:ascii="Calibri" w:hAnsi="Calibri"/>
                <w:color w:val="000000"/>
                <w:sz w:val="20"/>
                <w:szCs w:val="20"/>
              </w:rPr>
              <w:t> </w:t>
            </w: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personnel expenses</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$133,836,989.00 </w:t>
            </w:r>
          </w:p>
        </w:tc>
        <w:tc>
          <w:tcPr>
            <w:tcW w:w="1502"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$3,296,802.00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$137,133,791.00 </w:t>
            </w:r>
          </w:p>
        </w:tc>
        <w:tc>
          <w:tcPr>
            <w:tcW w:w="1380"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$3,296,802.00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2D31CD" w:rsidRDefault="002D31CD">
            <w:pPr>
              <w:jc w:val="right"/>
              <w:rPr>
                <w:rFonts w:ascii="Calibri" w:hAnsi="Calibri"/>
                <w:color w:val="000000"/>
                <w:sz w:val="20"/>
                <w:szCs w:val="20"/>
              </w:rPr>
            </w:pPr>
            <w:r w:rsidRPr="002D31CD">
              <w:rPr>
                <w:rFonts w:ascii="Calibri" w:hAnsi="Calibri"/>
                <w:color w:val="000000"/>
                <w:sz w:val="20"/>
                <w:szCs w:val="20"/>
              </w:rPr>
              <w:t xml:space="preserve">$140,430,593.00 </w:t>
            </w: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non-personnel expenses</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$12,589,462.00 </w:t>
            </w:r>
          </w:p>
        </w:tc>
        <w:tc>
          <w:tcPr>
            <w:tcW w:w="1502"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$12,589,462.00 </w:t>
            </w:r>
          </w:p>
        </w:tc>
        <w:tc>
          <w:tcPr>
            <w:tcW w:w="1380"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2D31CD" w:rsidRDefault="002D31CD">
            <w:pPr>
              <w:jc w:val="right"/>
              <w:rPr>
                <w:rFonts w:ascii="Calibri" w:hAnsi="Calibri"/>
                <w:color w:val="000000"/>
                <w:sz w:val="20"/>
                <w:szCs w:val="20"/>
              </w:rPr>
            </w:pPr>
            <w:r w:rsidRPr="002D31CD">
              <w:rPr>
                <w:rFonts w:ascii="Calibri" w:hAnsi="Calibri"/>
                <w:color w:val="000000"/>
                <w:sz w:val="20"/>
                <w:szCs w:val="20"/>
              </w:rPr>
              <w:t xml:space="preserve">$12,589,462.00 </w:t>
            </w: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financial aid</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$13,692,016.00 </w:t>
            </w:r>
          </w:p>
        </w:tc>
        <w:tc>
          <w:tcPr>
            <w:tcW w:w="1502"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$9,149.00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$13,701,165.00 </w:t>
            </w:r>
          </w:p>
        </w:tc>
        <w:tc>
          <w:tcPr>
            <w:tcW w:w="1380"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$9,149.00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2D31CD" w:rsidRDefault="002D31CD">
            <w:pPr>
              <w:jc w:val="right"/>
              <w:rPr>
                <w:rFonts w:ascii="Calibri" w:hAnsi="Calibri"/>
                <w:color w:val="000000"/>
                <w:sz w:val="20"/>
                <w:szCs w:val="20"/>
              </w:rPr>
            </w:pPr>
            <w:r w:rsidRPr="002D31CD">
              <w:rPr>
                <w:rFonts w:ascii="Calibri" w:hAnsi="Calibri"/>
                <w:color w:val="000000"/>
                <w:sz w:val="20"/>
                <w:szCs w:val="20"/>
              </w:rPr>
              <w:t xml:space="preserve">$13,710,314.00 </w:t>
            </w: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institutional accounts</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$8,041,397.00 </w:t>
            </w:r>
          </w:p>
        </w:tc>
        <w:tc>
          <w:tcPr>
            <w:tcW w:w="1502"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$313,604.00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$8,355,001.00 </w:t>
            </w:r>
          </w:p>
        </w:tc>
        <w:tc>
          <w:tcPr>
            <w:tcW w:w="1380"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$313,604.00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2D31CD" w:rsidRDefault="002D31CD">
            <w:pPr>
              <w:jc w:val="right"/>
              <w:rPr>
                <w:rFonts w:ascii="Calibri" w:hAnsi="Calibri"/>
                <w:color w:val="000000"/>
                <w:sz w:val="20"/>
                <w:szCs w:val="20"/>
              </w:rPr>
            </w:pPr>
            <w:r w:rsidRPr="002D31CD">
              <w:rPr>
                <w:rFonts w:ascii="Calibri" w:hAnsi="Calibri"/>
                <w:color w:val="000000"/>
                <w:sz w:val="20"/>
                <w:szCs w:val="20"/>
              </w:rPr>
              <w:t xml:space="preserve">$8,668,605.00 </w:t>
            </w: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Contingency Fund</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02"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$1,329,600.00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$1,329,600.00 </w:t>
            </w:r>
          </w:p>
        </w:tc>
        <w:tc>
          <w:tcPr>
            <w:tcW w:w="1380"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$0.00 </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2D31CD" w:rsidRDefault="002D31CD">
            <w:pPr>
              <w:jc w:val="right"/>
              <w:rPr>
                <w:rFonts w:ascii="Calibri" w:hAnsi="Calibri"/>
                <w:color w:val="000000"/>
                <w:sz w:val="20"/>
                <w:szCs w:val="20"/>
              </w:rPr>
            </w:pPr>
            <w:r w:rsidRPr="00D10BDD">
              <w:rPr>
                <w:rFonts w:eastAsia="Times New Roman" w:cs="Times New Roman"/>
                <w:color w:val="000000"/>
                <w:sz w:val="20"/>
                <w:szCs w:val="20"/>
              </w:rPr>
              <w:t>$1,329,600.00</w:t>
            </w: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total expense</w:t>
            </w:r>
          </w:p>
        </w:tc>
        <w:tc>
          <w:tcPr>
            <w:tcW w:w="1583" w:type="dxa"/>
            <w:tcBorders>
              <w:top w:val="nil"/>
              <w:left w:val="nil"/>
              <w:bottom w:val="single" w:sz="8" w:space="0" w:color="auto"/>
              <w:right w:val="single" w:sz="8" w:space="0" w:color="auto"/>
            </w:tcBorders>
            <w:shd w:val="clear" w:color="000000" w:fill="D9D9D9"/>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$168,159,864.00 </w:t>
            </w:r>
          </w:p>
        </w:tc>
        <w:tc>
          <w:tcPr>
            <w:tcW w:w="1502" w:type="dxa"/>
            <w:tcBorders>
              <w:top w:val="nil"/>
              <w:left w:val="nil"/>
              <w:bottom w:val="single" w:sz="8" w:space="0" w:color="auto"/>
              <w:right w:val="single" w:sz="8" w:space="0" w:color="auto"/>
            </w:tcBorders>
            <w:shd w:val="clear" w:color="000000" w:fill="D9D9D9"/>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$4,949,155.00 </w:t>
            </w:r>
          </w:p>
        </w:tc>
        <w:tc>
          <w:tcPr>
            <w:tcW w:w="1583" w:type="dxa"/>
            <w:tcBorders>
              <w:top w:val="nil"/>
              <w:left w:val="nil"/>
              <w:bottom w:val="single" w:sz="8" w:space="0" w:color="auto"/>
              <w:right w:val="single" w:sz="8" w:space="0" w:color="auto"/>
            </w:tcBorders>
            <w:shd w:val="clear" w:color="000000" w:fill="D9D9D9"/>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$173,109,019.00 </w:t>
            </w:r>
          </w:p>
        </w:tc>
        <w:tc>
          <w:tcPr>
            <w:tcW w:w="1380" w:type="dxa"/>
            <w:tcBorders>
              <w:top w:val="nil"/>
              <w:left w:val="nil"/>
              <w:bottom w:val="single" w:sz="8" w:space="0" w:color="auto"/>
              <w:right w:val="single" w:sz="8" w:space="0" w:color="auto"/>
            </w:tcBorders>
            <w:shd w:val="clear" w:color="000000" w:fill="D9D9D9"/>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xml:space="preserve">$3,619,555.00 </w:t>
            </w:r>
          </w:p>
        </w:tc>
        <w:tc>
          <w:tcPr>
            <w:tcW w:w="1583" w:type="dxa"/>
            <w:tcBorders>
              <w:top w:val="nil"/>
              <w:left w:val="nil"/>
              <w:bottom w:val="single" w:sz="8" w:space="0" w:color="auto"/>
              <w:right w:val="single" w:sz="8" w:space="0" w:color="auto"/>
            </w:tcBorders>
            <w:shd w:val="clear" w:color="000000" w:fill="D9D9D9"/>
            <w:noWrap/>
            <w:vAlign w:val="center"/>
            <w:hideMark/>
          </w:tcPr>
          <w:p w:rsidR="002D31CD" w:rsidRPr="002D31CD" w:rsidRDefault="002D31CD" w:rsidP="002D31CD">
            <w:pPr>
              <w:jc w:val="right"/>
              <w:rPr>
                <w:rFonts w:ascii="Calibri" w:hAnsi="Calibri"/>
                <w:color w:val="000000"/>
                <w:sz w:val="20"/>
                <w:szCs w:val="20"/>
              </w:rPr>
            </w:pPr>
            <w:r w:rsidRPr="002D31CD">
              <w:rPr>
                <w:rFonts w:ascii="Calibri" w:hAnsi="Calibri"/>
                <w:color w:val="000000"/>
                <w:sz w:val="20"/>
                <w:szCs w:val="20"/>
              </w:rPr>
              <w:t>$176,728,574.00</w:t>
            </w: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 </w:t>
            </w:r>
          </w:p>
        </w:tc>
        <w:tc>
          <w:tcPr>
            <w:tcW w:w="1583" w:type="dxa"/>
            <w:tcBorders>
              <w:top w:val="nil"/>
              <w:left w:val="nil"/>
              <w:bottom w:val="single" w:sz="8" w:space="0" w:color="auto"/>
              <w:right w:val="single" w:sz="8" w:space="0" w:color="auto"/>
            </w:tcBorders>
            <w:shd w:val="clear" w:color="auto" w:fill="auto"/>
            <w:noWrap/>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 </w:t>
            </w:r>
          </w:p>
        </w:tc>
        <w:tc>
          <w:tcPr>
            <w:tcW w:w="1502"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000000"/>
                <w:sz w:val="20"/>
                <w:szCs w:val="20"/>
              </w:rPr>
              <w:t> </w:t>
            </w:r>
          </w:p>
        </w:tc>
        <w:tc>
          <w:tcPr>
            <w:tcW w:w="1583" w:type="dxa"/>
            <w:tcBorders>
              <w:top w:val="nil"/>
              <w:left w:val="nil"/>
              <w:bottom w:val="single" w:sz="8" w:space="0" w:color="auto"/>
              <w:right w:val="single" w:sz="8" w:space="0" w:color="auto"/>
            </w:tcBorders>
            <w:shd w:val="clear" w:color="auto" w:fill="auto"/>
            <w:noWrap/>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 </w:t>
            </w:r>
          </w:p>
        </w:tc>
        <w:tc>
          <w:tcPr>
            <w:tcW w:w="1380" w:type="dxa"/>
            <w:tcBorders>
              <w:top w:val="nil"/>
              <w:left w:val="nil"/>
              <w:bottom w:val="single" w:sz="8" w:space="0" w:color="auto"/>
              <w:right w:val="single" w:sz="8" w:space="0" w:color="auto"/>
            </w:tcBorders>
            <w:shd w:val="clear" w:color="auto" w:fill="auto"/>
            <w:noWrap/>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 </w:t>
            </w:r>
          </w:p>
        </w:tc>
        <w:tc>
          <w:tcPr>
            <w:tcW w:w="1583" w:type="dxa"/>
            <w:tcBorders>
              <w:top w:val="nil"/>
              <w:left w:val="nil"/>
              <w:bottom w:val="single" w:sz="8" w:space="0" w:color="auto"/>
              <w:right w:val="single" w:sz="8" w:space="0" w:color="auto"/>
            </w:tcBorders>
            <w:shd w:val="clear" w:color="auto" w:fill="auto"/>
            <w:noWrap/>
            <w:hideMark/>
          </w:tcPr>
          <w:p w:rsidR="002D31CD" w:rsidRPr="002D31CD" w:rsidRDefault="002D31CD">
            <w:pPr>
              <w:rPr>
                <w:rFonts w:ascii="Calibri" w:hAnsi="Calibri"/>
                <w:color w:val="000000"/>
                <w:sz w:val="20"/>
                <w:szCs w:val="20"/>
              </w:rPr>
            </w:pPr>
            <w:r w:rsidRPr="002D31CD">
              <w:rPr>
                <w:rFonts w:ascii="Calibri" w:hAnsi="Calibri"/>
                <w:color w:val="000000"/>
                <w:sz w:val="20"/>
                <w:szCs w:val="20"/>
              </w:rPr>
              <w:t> </w:t>
            </w:r>
          </w:p>
        </w:tc>
      </w:tr>
      <w:tr w:rsidR="002D31CD" w:rsidRPr="00D10BDD" w:rsidTr="002D31CD">
        <w:trPr>
          <w:trHeight w:val="315"/>
        </w:trPr>
        <w:tc>
          <w:tcPr>
            <w:tcW w:w="1225" w:type="dxa"/>
            <w:tcBorders>
              <w:top w:val="nil"/>
              <w:left w:val="single" w:sz="8" w:space="0" w:color="auto"/>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rPr>
                <w:rFonts w:eastAsia="Times New Roman" w:cs="Times New Roman"/>
                <w:color w:val="000000"/>
                <w:sz w:val="20"/>
                <w:szCs w:val="20"/>
              </w:rPr>
            </w:pPr>
            <w:r w:rsidRPr="00D10BDD">
              <w:rPr>
                <w:rFonts w:eastAsia="Times New Roman" w:cs="Times New Roman"/>
                <w:color w:val="000000"/>
                <w:sz w:val="20"/>
                <w:szCs w:val="20"/>
              </w:rPr>
              <w:t>Net</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FF0000"/>
                <w:sz w:val="20"/>
                <w:szCs w:val="20"/>
              </w:rPr>
              <w:t>($254,367.00)</w:t>
            </w:r>
          </w:p>
        </w:tc>
        <w:tc>
          <w:tcPr>
            <w:tcW w:w="1502"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FF0000"/>
                <w:sz w:val="20"/>
                <w:szCs w:val="20"/>
              </w:rPr>
              <w:t>($167,294.00)</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FF0000"/>
                <w:sz w:val="20"/>
                <w:szCs w:val="20"/>
              </w:rPr>
              <w:t>($421,661.00)</w:t>
            </w:r>
          </w:p>
        </w:tc>
        <w:tc>
          <w:tcPr>
            <w:tcW w:w="1380" w:type="dxa"/>
            <w:tcBorders>
              <w:top w:val="nil"/>
              <w:left w:val="nil"/>
              <w:bottom w:val="single" w:sz="8" w:space="0" w:color="auto"/>
              <w:right w:val="single" w:sz="8" w:space="0" w:color="auto"/>
            </w:tcBorders>
            <w:shd w:val="clear" w:color="auto" w:fill="auto"/>
            <w:noWrap/>
            <w:vAlign w:val="center"/>
            <w:hideMark/>
          </w:tcPr>
          <w:p w:rsidR="002D31CD" w:rsidRPr="00D10BDD" w:rsidRDefault="002D31CD" w:rsidP="00D10BDD">
            <w:pPr>
              <w:spacing w:after="0" w:line="240" w:lineRule="auto"/>
              <w:jc w:val="right"/>
              <w:rPr>
                <w:rFonts w:eastAsia="Times New Roman" w:cs="Times New Roman"/>
                <w:color w:val="000000"/>
                <w:sz w:val="20"/>
                <w:szCs w:val="20"/>
              </w:rPr>
            </w:pPr>
            <w:r w:rsidRPr="00D10BDD">
              <w:rPr>
                <w:rFonts w:eastAsia="Times New Roman" w:cs="Times New Roman"/>
                <w:color w:val="FF0000"/>
                <w:sz w:val="20"/>
                <w:szCs w:val="20"/>
              </w:rPr>
              <w:t>($167,294.00)</w:t>
            </w:r>
          </w:p>
        </w:tc>
        <w:tc>
          <w:tcPr>
            <w:tcW w:w="1583" w:type="dxa"/>
            <w:tcBorders>
              <w:top w:val="nil"/>
              <w:left w:val="nil"/>
              <w:bottom w:val="single" w:sz="8" w:space="0" w:color="auto"/>
              <w:right w:val="single" w:sz="8" w:space="0" w:color="auto"/>
            </w:tcBorders>
            <w:shd w:val="clear" w:color="auto" w:fill="auto"/>
            <w:noWrap/>
            <w:vAlign w:val="center"/>
            <w:hideMark/>
          </w:tcPr>
          <w:p w:rsidR="002D31CD" w:rsidRPr="002D31CD" w:rsidRDefault="002D31CD" w:rsidP="002D31CD">
            <w:pPr>
              <w:jc w:val="right"/>
              <w:rPr>
                <w:rFonts w:ascii="Calibri" w:hAnsi="Calibri"/>
                <w:color w:val="000000"/>
                <w:sz w:val="20"/>
                <w:szCs w:val="20"/>
              </w:rPr>
            </w:pPr>
            <w:r w:rsidRPr="002D31CD">
              <w:rPr>
                <w:rFonts w:ascii="Calibri" w:hAnsi="Calibri"/>
                <w:color w:val="FF0000"/>
                <w:sz w:val="20"/>
                <w:szCs w:val="20"/>
              </w:rPr>
              <w:t>($8,041,216.00)</w:t>
            </w:r>
          </w:p>
        </w:tc>
      </w:tr>
    </w:tbl>
    <w:p w:rsidR="00DE163F" w:rsidRPr="00194849" w:rsidRDefault="00DE163F"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Courier New"/>
        </w:rPr>
      </w:pPr>
    </w:p>
    <w:p w:rsidR="009151F1" w:rsidRDefault="009151F1" w:rsidP="000B2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Note: Expenses listed in 2016 increase at the same pace as from 2014 to 2015. This is a conservative estimate to highlight future funding needs. </w:t>
      </w:r>
      <w:r w:rsidR="000B2A7C">
        <w:rPr>
          <w:rFonts w:eastAsia="Times New Roman" w:cs="Courier New"/>
        </w:rPr>
        <w:t xml:space="preserve">However, significantly larger numbers of incoming students will be needed to maintain current enrollment levels, so significant increases in tuition revenue should </w:t>
      </w:r>
      <w:r w:rsidR="000B2A7C">
        <w:rPr>
          <w:rFonts w:eastAsia="Times New Roman" w:cs="Courier New"/>
        </w:rPr>
        <w:lastRenderedPageBreak/>
        <w:t>not be expected in the near term. I</w:t>
      </w:r>
      <w:r w:rsidR="0002415A">
        <w:rPr>
          <w:rFonts w:eastAsia="Times New Roman" w:cs="Courier New"/>
        </w:rPr>
        <w:t>f additional</w:t>
      </w:r>
      <w:r w:rsidR="000B2A7C">
        <w:rPr>
          <w:rFonts w:eastAsia="Times New Roman" w:cs="Courier New"/>
        </w:rPr>
        <w:t xml:space="preserve"> one-time money is not secured,</w:t>
      </w:r>
      <w:r w:rsidR="0002415A">
        <w:rPr>
          <w:rFonts w:eastAsia="Times New Roman" w:cs="Courier New"/>
        </w:rPr>
        <w:t xml:space="preserve"> </w:t>
      </w:r>
      <w:r w:rsidR="000B2A7C">
        <w:rPr>
          <w:rFonts w:eastAsia="Times New Roman" w:cs="Courier New"/>
        </w:rPr>
        <w:t xml:space="preserve">revenues from </w:t>
      </w:r>
      <w:r w:rsidR="0002415A">
        <w:rPr>
          <w:rFonts w:eastAsia="Times New Roman" w:cs="Courier New"/>
        </w:rPr>
        <w:t xml:space="preserve">appropriations and tuition revenue will need to be </w:t>
      </w:r>
      <w:r w:rsidR="002D31CD">
        <w:rPr>
          <w:rFonts w:eastAsia="Times New Roman" w:cs="Courier New"/>
        </w:rPr>
        <w:t>about</w:t>
      </w:r>
      <w:r w:rsidR="00D10BDD">
        <w:rPr>
          <w:rFonts w:eastAsia="Times New Roman" w:cs="Courier New"/>
        </w:rPr>
        <w:t xml:space="preserve"> $</w:t>
      </w:r>
      <w:r w:rsidR="002D31CD">
        <w:rPr>
          <w:rFonts w:eastAsia="Times New Roman" w:cs="Courier New"/>
        </w:rPr>
        <w:t>8</w:t>
      </w:r>
      <w:r w:rsidR="000B2A7C">
        <w:rPr>
          <w:rFonts w:eastAsia="Times New Roman" w:cs="Courier New"/>
        </w:rPr>
        <w:t xml:space="preserve">M </w:t>
      </w:r>
      <w:r w:rsidR="0002415A">
        <w:rPr>
          <w:rFonts w:eastAsia="Times New Roman" w:cs="Courier New"/>
        </w:rPr>
        <w:t>to keep the university at current levels.</w:t>
      </w:r>
      <w:r w:rsidR="000B2A7C">
        <w:rPr>
          <w:rFonts w:eastAsia="Times New Roman" w:cs="Courier New"/>
        </w:rPr>
        <w:t xml:space="preserve"> The net shortfall for </w:t>
      </w:r>
      <w:r w:rsidR="0002540F">
        <w:rPr>
          <w:rFonts w:eastAsia="Times New Roman" w:cs="Courier New"/>
        </w:rPr>
        <w:t xml:space="preserve">FY15 </w:t>
      </w:r>
      <w:r w:rsidR="000B2A7C">
        <w:rPr>
          <w:rFonts w:eastAsia="Times New Roman" w:cs="Courier New"/>
        </w:rPr>
        <w:t>can be covered by the current contingency fund if enrollment estimates are correct.</w:t>
      </w:r>
      <w:r w:rsidR="00E671F9">
        <w:rPr>
          <w:rFonts w:eastAsia="Times New Roman" w:cs="Courier New"/>
        </w:rPr>
        <w:t xml:space="preserve"> For comparison, state appropriations in 2001 were $96,780,065.</w:t>
      </w:r>
      <w:r w:rsidR="005800A6">
        <w:rPr>
          <w:rFonts w:eastAsia="Times New Roman" w:cs="Courier New"/>
        </w:rPr>
        <w:t xml:space="preserve"> Accounting for inflation, state appropriations would be $129M if funding levels now were consistent with 2001 (</w:t>
      </w:r>
      <w:r w:rsidR="005800A6" w:rsidRPr="005800A6">
        <w:rPr>
          <w:rFonts w:eastAsia="Times New Roman" w:cs="Courier New"/>
        </w:rPr>
        <w:t>http://data.bls.gov/cgi-bin/cpicalc.pl</w:t>
      </w:r>
      <w:r w:rsidR="005800A6">
        <w:rPr>
          <w:rFonts w:eastAsia="Times New Roman" w:cs="Courier New"/>
        </w:rPr>
        <w:t>)</w:t>
      </w:r>
      <w:r>
        <w:rPr>
          <w:rFonts w:eastAsia="Times New Roman" w:cs="Courier New"/>
        </w:rPr>
        <w:br w:type="page"/>
      </w:r>
    </w:p>
    <w:p w:rsidR="00194849" w:rsidRPr="001E6C7F" w:rsidRDefault="001E6C7F" w:rsidP="001E6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1E6C7F">
        <w:rPr>
          <w:rFonts w:eastAsia="Times New Roman" w:cs="Courier New"/>
        </w:rPr>
        <w:lastRenderedPageBreak/>
        <w:t>II.</w:t>
      </w:r>
      <w:r>
        <w:rPr>
          <w:rFonts w:eastAsia="Times New Roman" w:cs="Courier New"/>
        </w:rPr>
        <w:t xml:space="preserve"> </w:t>
      </w:r>
      <w:r w:rsidR="00194849" w:rsidRPr="001E6C7F">
        <w:rPr>
          <w:rFonts w:eastAsia="Times New Roman" w:cs="Courier New"/>
        </w:rPr>
        <w:t xml:space="preserve">Current </w:t>
      </w:r>
      <w:r w:rsidR="00DE163F" w:rsidRPr="001E6C7F">
        <w:rPr>
          <w:rFonts w:eastAsia="Times New Roman" w:cs="Courier New"/>
        </w:rPr>
        <w:t xml:space="preserve">Reserves </w:t>
      </w:r>
    </w:p>
    <w:p w:rsidR="001E6C7F" w:rsidRPr="001E6C7F" w:rsidRDefault="001E6C7F" w:rsidP="001E6C7F"/>
    <w:p w:rsidR="00194849" w:rsidRDefault="00194849" w:rsidP="00194849">
      <w:r>
        <w:tab/>
        <w:t>1. Current Reserves in FY15 budget</w:t>
      </w:r>
    </w:p>
    <w:tbl>
      <w:tblPr>
        <w:tblW w:w="5100" w:type="dxa"/>
        <w:tblLook w:val="04A0" w:firstRow="1" w:lastRow="0" w:firstColumn="1" w:lastColumn="0" w:noHBand="0" w:noVBand="1"/>
      </w:tblPr>
      <w:tblGrid>
        <w:gridCol w:w="3760"/>
        <w:gridCol w:w="1497"/>
      </w:tblGrid>
      <w:tr w:rsidR="00194849" w:rsidRPr="00194849" w:rsidTr="00194849">
        <w:trPr>
          <w:trHeight w:val="300"/>
        </w:trPr>
        <w:tc>
          <w:tcPr>
            <w:tcW w:w="3760" w:type="dxa"/>
            <w:tcBorders>
              <w:top w:val="nil"/>
              <w:left w:val="nil"/>
              <w:bottom w:val="nil"/>
              <w:right w:val="nil"/>
            </w:tcBorders>
            <w:shd w:val="clear" w:color="auto" w:fill="auto"/>
            <w:noWrap/>
            <w:vAlign w:val="bottom"/>
            <w:hideMark/>
          </w:tcPr>
          <w:p w:rsidR="00194849" w:rsidRPr="00194849" w:rsidRDefault="00194849" w:rsidP="00194849">
            <w:pPr>
              <w:spacing w:after="0" w:line="240" w:lineRule="auto"/>
              <w:rPr>
                <w:rFonts w:ascii="Calibri" w:eastAsia="Times New Roman" w:hAnsi="Calibri" w:cs="Times New Roman"/>
                <w:color w:val="000000"/>
              </w:rPr>
            </w:pPr>
            <w:r w:rsidRPr="00194849">
              <w:rPr>
                <w:rFonts w:ascii="Calibri" w:eastAsia="Times New Roman" w:hAnsi="Calibri" w:cs="Times New Roman"/>
                <w:color w:val="000000"/>
              </w:rPr>
              <w:t>Enrollment Contingency Fund</w:t>
            </w:r>
          </w:p>
        </w:tc>
        <w:tc>
          <w:tcPr>
            <w:tcW w:w="1340" w:type="dxa"/>
            <w:tcBorders>
              <w:top w:val="nil"/>
              <w:left w:val="nil"/>
              <w:bottom w:val="nil"/>
              <w:right w:val="nil"/>
            </w:tcBorders>
            <w:shd w:val="clear" w:color="auto" w:fill="auto"/>
            <w:noWrap/>
            <w:vAlign w:val="bottom"/>
            <w:hideMark/>
          </w:tcPr>
          <w:p w:rsidR="00194849" w:rsidRPr="00194849" w:rsidRDefault="00194849" w:rsidP="00194849">
            <w:pPr>
              <w:spacing w:after="0" w:line="240" w:lineRule="auto"/>
              <w:jc w:val="right"/>
              <w:rPr>
                <w:rFonts w:ascii="Calibri" w:eastAsia="Times New Roman" w:hAnsi="Calibri" w:cs="Times New Roman"/>
                <w:color w:val="000000"/>
              </w:rPr>
            </w:pPr>
            <w:r w:rsidRPr="00194849">
              <w:rPr>
                <w:rFonts w:ascii="Calibri" w:eastAsia="Times New Roman" w:hAnsi="Calibri" w:cs="Times New Roman"/>
                <w:color w:val="000000"/>
              </w:rPr>
              <w:t>$1,329,600.00</w:t>
            </w:r>
          </w:p>
        </w:tc>
      </w:tr>
      <w:tr w:rsidR="00194849" w:rsidRPr="00194849" w:rsidTr="00194849">
        <w:trPr>
          <w:trHeight w:val="300"/>
        </w:trPr>
        <w:tc>
          <w:tcPr>
            <w:tcW w:w="3760" w:type="dxa"/>
            <w:tcBorders>
              <w:top w:val="nil"/>
              <w:left w:val="nil"/>
              <w:bottom w:val="nil"/>
              <w:right w:val="nil"/>
            </w:tcBorders>
            <w:shd w:val="clear" w:color="auto" w:fill="auto"/>
            <w:noWrap/>
            <w:vAlign w:val="bottom"/>
            <w:hideMark/>
          </w:tcPr>
          <w:p w:rsidR="00194849" w:rsidRPr="00194849" w:rsidRDefault="00194849" w:rsidP="00194849">
            <w:pPr>
              <w:spacing w:after="0" w:line="240" w:lineRule="auto"/>
              <w:rPr>
                <w:rFonts w:ascii="Calibri" w:eastAsia="Times New Roman" w:hAnsi="Calibri" w:cs="Times New Roman"/>
                <w:color w:val="000000"/>
              </w:rPr>
            </w:pPr>
            <w:r>
              <w:rPr>
                <w:rFonts w:ascii="Calibri" w:eastAsia="Times New Roman" w:hAnsi="Calibri" w:cs="Times New Roman"/>
                <w:color w:val="000000"/>
              </w:rPr>
              <w:t>Inst. Strategic Initiatives</w:t>
            </w:r>
          </w:p>
        </w:tc>
        <w:tc>
          <w:tcPr>
            <w:tcW w:w="1340" w:type="dxa"/>
            <w:tcBorders>
              <w:top w:val="nil"/>
              <w:left w:val="nil"/>
              <w:bottom w:val="nil"/>
              <w:right w:val="nil"/>
            </w:tcBorders>
            <w:shd w:val="clear" w:color="auto" w:fill="auto"/>
            <w:noWrap/>
            <w:vAlign w:val="bottom"/>
            <w:hideMark/>
          </w:tcPr>
          <w:p w:rsidR="00194849" w:rsidRPr="00194849" w:rsidRDefault="00194849" w:rsidP="00194849">
            <w:pPr>
              <w:spacing w:after="0" w:line="240" w:lineRule="auto"/>
              <w:jc w:val="right"/>
              <w:rPr>
                <w:rFonts w:ascii="Calibri" w:eastAsia="Times New Roman" w:hAnsi="Calibri" w:cs="Times New Roman"/>
                <w:color w:val="000000"/>
              </w:rPr>
            </w:pPr>
            <w:r w:rsidRPr="00194849">
              <w:rPr>
                <w:rFonts w:ascii="Calibri" w:eastAsia="Times New Roman" w:hAnsi="Calibri" w:cs="Times New Roman"/>
                <w:color w:val="000000"/>
              </w:rPr>
              <w:t>$400,000.00</w:t>
            </w:r>
          </w:p>
        </w:tc>
      </w:tr>
      <w:tr w:rsidR="00194849" w:rsidRPr="00194849" w:rsidTr="00194849">
        <w:trPr>
          <w:trHeight w:val="300"/>
        </w:trPr>
        <w:tc>
          <w:tcPr>
            <w:tcW w:w="3760" w:type="dxa"/>
            <w:tcBorders>
              <w:top w:val="nil"/>
              <w:left w:val="nil"/>
              <w:bottom w:val="nil"/>
              <w:right w:val="nil"/>
            </w:tcBorders>
            <w:shd w:val="clear" w:color="auto" w:fill="auto"/>
            <w:noWrap/>
            <w:vAlign w:val="bottom"/>
            <w:hideMark/>
          </w:tcPr>
          <w:p w:rsidR="00194849" w:rsidRPr="00194849" w:rsidRDefault="00194849" w:rsidP="00194849">
            <w:pPr>
              <w:spacing w:after="0" w:line="240" w:lineRule="auto"/>
              <w:rPr>
                <w:rFonts w:ascii="Calibri" w:eastAsia="Times New Roman" w:hAnsi="Calibri" w:cs="Times New Roman"/>
                <w:color w:val="000000"/>
              </w:rPr>
            </w:pPr>
            <w:r w:rsidRPr="00194849">
              <w:rPr>
                <w:rFonts w:ascii="Calibri" w:eastAsia="Times New Roman" w:hAnsi="Calibri" w:cs="Times New Roman"/>
                <w:color w:val="000000"/>
              </w:rPr>
              <w:t>Payout (not principle) of Vision Fund</w:t>
            </w:r>
          </w:p>
        </w:tc>
        <w:tc>
          <w:tcPr>
            <w:tcW w:w="1340" w:type="dxa"/>
            <w:tcBorders>
              <w:top w:val="nil"/>
              <w:left w:val="nil"/>
              <w:bottom w:val="nil"/>
              <w:right w:val="nil"/>
            </w:tcBorders>
            <w:shd w:val="clear" w:color="auto" w:fill="auto"/>
            <w:noWrap/>
            <w:vAlign w:val="bottom"/>
            <w:hideMark/>
          </w:tcPr>
          <w:p w:rsidR="00194849" w:rsidRPr="00194849" w:rsidRDefault="00194849" w:rsidP="00194849">
            <w:pPr>
              <w:spacing w:after="0" w:line="240" w:lineRule="auto"/>
              <w:jc w:val="right"/>
              <w:rPr>
                <w:rFonts w:ascii="Calibri" w:eastAsia="Times New Roman" w:hAnsi="Calibri" w:cs="Times New Roman"/>
                <w:color w:val="000000"/>
              </w:rPr>
            </w:pPr>
            <w:r w:rsidRPr="00194849">
              <w:rPr>
                <w:rFonts w:ascii="Calibri" w:eastAsia="Times New Roman" w:hAnsi="Calibri" w:cs="Times New Roman"/>
                <w:color w:val="000000"/>
              </w:rPr>
              <w:t>$90,000.00</w:t>
            </w:r>
          </w:p>
        </w:tc>
      </w:tr>
    </w:tbl>
    <w:p w:rsidR="001E6C7F" w:rsidRDefault="001E6C7F" w:rsidP="00194849">
      <w:pPr>
        <w:ind w:firstLine="720"/>
      </w:pPr>
    </w:p>
    <w:p w:rsidR="00194849" w:rsidRDefault="00194849" w:rsidP="00194849">
      <w:pPr>
        <w:ind w:firstLine="720"/>
      </w:pPr>
      <w:r>
        <w:t>2. In the event of revenue shortfalls, t</w:t>
      </w:r>
      <w:r w:rsidR="001E6C7F">
        <w:t>he following assets are used. These are 1-time measures which generally push financial issues forward to future years</w:t>
      </w:r>
    </w:p>
    <w:p w:rsidR="001E6C7F" w:rsidRPr="001E6C7F" w:rsidRDefault="001E6C7F" w:rsidP="001E6C7F">
      <w:pPr>
        <w:spacing w:after="0" w:line="240" w:lineRule="auto"/>
        <w:ind w:left="720"/>
        <w:rPr>
          <w:rFonts w:eastAsia="Times New Roman" w:cs="Times New Roman"/>
        </w:rPr>
      </w:pPr>
      <w:r>
        <w:rPr>
          <w:rFonts w:eastAsia="Times New Roman" w:cs="Times New Roman"/>
          <w:bCs/>
        </w:rPr>
        <w:t xml:space="preserve">- </w:t>
      </w:r>
      <w:r w:rsidRPr="001E6C7F">
        <w:rPr>
          <w:rFonts w:eastAsia="Times New Roman" w:cs="Times New Roman"/>
          <w:bCs/>
        </w:rPr>
        <w:t>Enrollment Contingency</w:t>
      </w:r>
    </w:p>
    <w:p w:rsidR="001E6C7F" w:rsidRPr="001E6C7F" w:rsidRDefault="001E6C7F" w:rsidP="001E6C7F">
      <w:pPr>
        <w:spacing w:after="0" w:line="240" w:lineRule="auto"/>
        <w:ind w:left="720"/>
        <w:rPr>
          <w:rFonts w:eastAsia="Times New Roman" w:cs="Times New Roman"/>
        </w:rPr>
      </w:pPr>
      <w:r w:rsidRPr="001E6C7F">
        <w:rPr>
          <w:rFonts w:eastAsia="Times New Roman" w:cs="Times New Roman"/>
        </w:rPr>
        <w:t xml:space="preserve">- </w:t>
      </w:r>
      <w:r w:rsidRPr="001E6C7F">
        <w:rPr>
          <w:rFonts w:eastAsia="Times New Roman" w:cs="Times New Roman"/>
          <w:bCs/>
        </w:rPr>
        <w:t>Prior Year Carry Forward</w:t>
      </w:r>
    </w:p>
    <w:p w:rsidR="001E6C7F" w:rsidRPr="001E6C7F" w:rsidRDefault="001E6C7F" w:rsidP="001E6C7F">
      <w:pPr>
        <w:spacing w:after="0" w:line="240" w:lineRule="auto"/>
        <w:ind w:left="720"/>
        <w:rPr>
          <w:rFonts w:eastAsia="Times New Roman" w:cs="Times New Roman"/>
        </w:rPr>
      </w:pPr>
      <w:r w:rsidRPr="001E6C7F">
        <w:rPr>
          <w:rFonts w:eastAsia="Times New Roman" w:cs="Times New Roman"/>
        </w:rPr>
        <w:t xml:space="preserve">- </w:t>
      </w:r>
      <w:r w:rsidRPr="001E6C7F">
        <w:rPr>
          <w:rFonts w:eastAsia="Times New Roman" w:cs="Times New Roman"/>
          <w:bCs/>
        </w:rPr>
        <w:t>Salary/Fringe Savings</w:t>
      </w:r>
    </w:p>
    <w:p w:rsidR="001E6C7F" w:rsidRPr="001E6C7F" w:rsidRDefault="001E6C7F" w:rsidP="001E6C7F">
      <w:pPr>
        <w:spacing w:after="0" w:line="240" w:lineRule="auto"/>
        <w:ind w:left="720"/>
        <w:rPr>
          <w:rFonts w:eastAsia="Times New Roman" w:cs="Times New Roman"/>
        </w:rPr>
      </w:pPr>
      <w:r w:rsidRPr="001E6C7F">
        <w:rPr>
          <w:rFonts w:eastAsia="Times New Roman" w:cs="Times New Roman"/>
        </w:rPr>
        <w:t xml:space="preserve">- </w:t>
      </w:r>
      <w:r w:rsidRPr="001E6C7F">
        <w:rPr>
          <w:rFonts w:eastAsia="Times New Roman" w:cs="Times New Roman"/>
          <w:bCs/>
        </w:rPr>
        <w:t>Lump Sum Amounts Assigned to Each Division</w:t>
      </w:r>
    </w:p>
    <w:p w:rsidR="001E6C7F" w:rsidRDefault="001E6C7F" w:rsidP="001E6C7F">
      <w:pPr>
        <w:spacing w:after="0" w:line="240" w:lineRule="auto"/>
        <w:ind w:left="720"/>
        <w:rPr>
          <w:rFonts w:eastAsia="Times New Roman" w:cs="Times New Roman"/>
          <w:bCs/>
        </w:rPr>
      </w:pPr>
      <w:r w:rsidRPr="001E6C7F">
        <w:rPr>
          <w:rFonts w:eastAsia="Times New Roman" w:cs="Times New Roman"/>
        </w:rPr>
        <w:t xml:space="preserve">- </w:t>
      </w:r>
      <w:r w:rsidRPr="001E6C7F">
        <w:rPr>
          <w:rFonts w:eastAsia="Times New Roman" w:cs="Times New Roman"/>
          <w:bCs/>
        </w:rPr>
        <w:t>Institutional Strategic Initiatives</w:t>
      </w:r>
    </w:p>
    <w:p w:rsidR="001E6C7F" w:rsidRPr="001E6C7F" w:rsidRDefault="001E6C7F" w:rsidP="001E6C7F">
      <w:pPr>
        <w:spacing w:after="0" w:line="240" w:lineRule="auto"/>
        <w:ind w:left="720"/>
        <w:rPr>
          <w:rFonts w:eastAsia="Times New Roman" w:cs="Times New Roman"/>
        </w:rPr>
      </w:pPr>
      <w:r>
        <w:rPr>
          <w:rFonts w:eastAsia="Times New Roman" w:cs="Times New Roman"/>
          <w:bCs/>
        </w:rPr>
        <w:t>- Provost Initiatives Fund</w:t>
      </w:r>
    </w:p>
    <w:p w:rsidR="001E6C7F" w:rsidRPr="001E6C7F" w:rsidRDefault="001E6C7F" w:rsidP="001E6C7F">
      <w:pPr>
        <w:spacing w:after="0" w:line="240" w:lineRule="auto"/>
        <w:ind w:left="720"/>
        <w:rPr>
          <w:rFonts w:eastAsia="Times New Roman" w:cs="Times New Roman"/>
        </w:rPr>
      </w:pPr>
      <w:r w:rsidRPr="001E6C7F">
        <w:rPr>
          <w:rFonts w:eastAsia="Times New Roman" w:cs="Times New Roman"/>
          <w:bCs/>
        </w:rPr>
        <w:t xml:space="preserve">- </w:t>
      </w:r>
      <w:proofErr w:type="spellStart"/>
      <w:r w:rsidRPr="001E6C7F">
        <w:rPr>
          <w:rFonts w:eastAsia="Times New Roman" w:cs="Times New Roman"/>
          <w:bCs/>
        </w:rPr>
        <w:t>Misc</w:t>
      </w:r>
      <w:proofErr w:type="spellEnd"/>
      <w:r w:rsidRPr="001E6C7F">
        <w:rPr>
          <w:rFonts w:eastAsia="Times New Roman" w:cs="Times New Roman"/>
          <w:bCs/>
        </w:rPr>
        <w:t xml:space="preserve"> Savings from Institutional Expense account</w:t>
      </w:r>
      <w:r w:rsidR="0099794C">
        <w:rPr>
          <w:rFonts w:eastAsia="Times New Roman" w:cs="Times New Roman"/>
          <w:bCs/>
        </w:rPr>
        <w:t xml:space="preserve"> </w:t>
      </w:r>
      <w:r w:rsidRPr="001E6C7F">
        <w:rPr>
          <w:rFonts w:eastAsia="Times New Roman" w:cs="Times New Roman"/>
          <w:bCs/>
        </w:rPr>
        <w:t>(audit, insurance, legal)</w:t>
      </w:r>
    </w:p>
    <w:p w:rsidR="001E6C7F" w:rsidRPr="001E6C7F" w:rsidRDefault="001E6C7F" w:rsidP="001E6C7F">
      <w:pPr>
        <w:spacing w:after="0" w:line="240" w:lineRule="auto"/>
        <w:ind w:left="720"/>
        <w:rPr>
          <w:rFonts w:eastAsia="Times New Roman" w:cs="Times New Roman"/>
        </w:rPr>
      </w:pPr>
      <w:r w:rsidRPr="001E6C7F">
        <w:rPr>
          <w:rFonts w:eastAsia="Times New Roman" w:cs="Times New Roman"/>
        </w:rPr>
        <w:t xml:space="preserve">- </w:t>
      </w:r>
      <w:r w:rsidRPr="001E6C7F">
        <w:rPr>
          <w:rFonts w:eastAsia="Times New Roman" w:cs="Times New Roman"/>
          <w:bCs/>
        </w:rPr>
        <w:t>Reduction in Financial Aid</w:t>
      </w:r>
    </w:p>
    <w:p w:rsidR="001E6C7F" w:rsidRPr="001E6C7F" w:rsidRDefault="001E6C7F" w:rsidP="001E6C7F">
      <w:pPr>
        <w:spacing w:after="0" w:line="240" w:lineRule="auto"/>
        <w:ind w:left="720"/>
        <w:rPr>
          <w:rFonts w:eastAsia="Times New Roman" w:cs="Times New Roman"/>
        </w:rPr>
      </w:pPr>
      <w:r w:rsidRPr="001E6C7F">
        <w:rPr>
          <w:rFonts w:eastAsia="Times New Roman" w:cs="Times New Roman"/>
        </w:rPr>
        <w:t>- Summer Session Salary Savings (if any)</w:t>
      </w:r>
    </w:p>
    <w:p w:rsidR="009151F1" w:rsidRDefault="001E6C7F" w:rsidP="001E6C7F">
      <w:pPr>
        <w:spacing w:after="0" w:line="240" w:lineRule="auto"/>
        <w:ind w:left="720"/>
        <w:rPr>
          <w:rFonts w:eastAsia="Times New Roman" w:cs="Times New Roman"/>
        </w:rPr>
      </w:pPr>
      <w:r w:rsidRPr="001E6C7F">
        <w:rPr>
          <w:rFonts w:eastAsia="Times New Roman" w:cs="Times New Roman"/>
        </w:rPr>
        <w:t xml:space="preserve">- </w:t>
      </w:r>
      <w:r w:rsidRPr="001E6C7F">
        <w:rPr>
          <w:rFonts w:eastAsia="Times New Roman" w:cs="Times New Roman"/>
          <w:bCs/>
        </w:rPr>
        <w:t>Utilities</w:t>
      </w:r>
      <w:r w:rsidRPr="001E6C7F">
        <w:rPr>
          <w:rFonts w:eastAsia="Times New Roman" w:cs="Times New Roman"/>
        </w:rPr>
        <w:t xml:space="preserve"> </w:t>
      </w:r>
    </w:p>
    <w:p w:rsidR="001E6C7F" w:rsidRPr="001E6C7F" w:rsidRDefault="001E6C7F" w:rsidP="001E6C7F">
      <w:pPr>
        <w:spacing w:after="0" w:line="240" w:lineRule="auto"/>
        <w:ind w:left="720"/>
        <w:rPr>
          <w:rFonts w:eastAsia="Times New Roman" w:cs="Times New Roman"/>
        </w:rPr>
      </w:pPr>
      <w:r w:rsidRPr="001E6C7F">
        <w:rPr>
          <w:rFonts w:eastAsia="Times New Roman" w:cs="Times New Roman"/>
        </w:rPr>
        <w:t xml:space="preserve">- </w:t>
      </w:r>
      <w:r w:rsidRPr="001E6C7F">
        <w:rPr>
          <w:rFonts w:eastAsia="Times New Roman" w:cs="Times New Roman"/>
          <w:bCs/>
        </w:rPr>
        <w:t>ERIP</w:t>
      </w:r>
      <w:r w:rsidR="009151F1">
        <w:rPr>
          <w:rFonts w:eastAsia="Times New Roman" w:cs="Times New Roman"/>
          <w:bCs/>
        </w:rPr>
        <w:t xml:space="preserve"> (Early Retirement Incentive Program)</w:t>
      </w:r>
    </w:p>
    <w:p w:rsidR="001E6C7F" w:rsidRPr="001E6C7F" w:rsidRDefault="001E6C7F" w:rsidP="001E6C7F">
      <w:pPr>
        <w:spacing w:after="0" w:line="240" w:lineRule="auto"/>
        <w:ind w:left="720"/>
        <w:rPr>
          <w:rFonts w:eastAsia="Times New Roman" w:cs="Times New Roman"/>
        </w:rPr>
      </w:pPr>
      <w:r w:rsidRPr="001E6C7F">
        <w:rPr>
          <w:rFonts w:eastAsia="Times New Roman" w:cs="Times New Roman"/>
          <w:bCs/>
        </w:rPr>
        <w:t xml:space="preserve">- Operational changes, i.e., utilities charges to all auxiliaries; 2.5% Administrative Overhead to all non-General Fund accounts </w:t>
      </w:r>
      <w:r w:rsidRPr="001E6C7F">
        <w:rPr>
          <w:rFonts w:eastAsia="Times New Roman" w:cs="Times New Roman"/>
        </w:rPr>
        <w:t xml:space="preserve">(per policy on Financial Accounting &amp; Reporting website), </w:t>
      </w:r>
      <w:r w:rsidRPr="001E6C7F">
        <w:rPr>
          <w:rFonts w:eastAsia="Times New Roman" w:cs="Times New Roman"/>
          <w:bCs/>
        </w:rPr>
        <w:t>reduction in support to Auxiliaries</w:t>
      </w:r>
    </w:p>
    <w:p w:rsidR="00A96197" w:rsidRDefault="00A96197">
      <w:pPr>
        <w:rPr>
          <w:rFonts w:eastAsia="Times New Roman" w:cs="Courier New"/>
        </w:rPr>
      </w:pPr>
    </w:p>
    <w:p w:rsidR="009151F1" w:rsidRDefault="009151F1">
      <w:pPr>
        <w:rPr>
          <w:rFonts w:eastAsia="Times New Roman" w:cs="Courier New"/>
        </w:rPr>
      </w:pPr>
      <w:r>
        <w:rPr>
          <w:rFonts w:eastAsia="Times New Roman" w:cs="Courier New"/>
        </w:rPr>
        <w:br w:type="page"/>
      </w:r>
    </w:p>
    <w:p w:rsidR="00194849" w:rsidRPr="00194849" w:rsidRDefault="00194849" w:rsidP="0019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194849">
        <w:rPr>
          <w:rFonts w:eastAsia="Times New Roman" w:cs="Courier New"/>
        </w:rPr>
        <w:lastRenderedPageBreak/>
        <w:t>III. Faculty Numbers</w:t>
      </w:r>
    </w:p>
    <w:p w:rsidR="00E05CEB" w:rsidRDefault="00E05CEB" w:rsidP="00E05CEB">
      <w:pPr>
        <w:jc w:val="center"/>
      </w:pPr>
    </w:p>
    <w:p w:rsidR="00194849" w:rsidRDefault="00E05CEB" w:rsidP="00E05CEB">
      <w:pPr>
        <w:jc w:val="center"/>
      </w:pPr>
      <w:r>
        <w:t>Table of Trends in Instructor / Professor Positions from UNI Fact Book</w:t>
      </w:r>
    </w:p>
    <w:tbl>
      <w:tblPr>
        <w:tblW w:w="10258" w:type="dxa"/>
        <w:tblInd w:w="93" w:type="dxa"/>
        <w:tblLook w:val="04A0" w:firstRow="1" w:lastRow="0" w:firstColumn="1" w:lastColumn="0" w:noHBand="0" w:noVBand="1"/>
      </w:tblPr>
      <w:tblGrid>
        <w:gridCol w:w="898"/>
        <w:gridCol w:w="720"/>
        <w:gridCol w:w="720"/>
        <w:gridCol w:w="720"/>
        <w:gridCol w:w="720"/>
        <w:gridCol w:w="720"/>
        <w:gridCol w:w="720"/>
        <w:gridCol w:w="720"/>
        <w:gridCol w:w="720"/>
        <w:gridCol w:w="720"/>
        <w:gridCol w:w="720"/>
        <w:gridCol w:w="720"/>
        <w:gridCol w:w="720"/>
        <w:gridCol w:w="720"/>
      </w:tblGrid>
      <w:tr w:rsidR="006467D0" w:rsidRPr="006467D0" w:rsidTr="006467D0">
        <w:trPr>
          <w:trHeight w:val="315"/>
        </w:trPr>
        <w:tc>
          <w:tcPr>
            <w:tcW w:w="8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xml:space="preserve">Year by Fall </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2001</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2002</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200</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2004</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2005</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2006</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2007</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2008</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2009</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2010</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2011</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2012</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2013</w:t>
            </w:r>
          </w:p>
        </w:tc>
      </w:tr>
      <w:tr w:rsidR="006467D0" w:rsidRPr="006467D0" w:rsidTr="006467D0">
        <w:trPr>
          <w:trHeight w:val="315"/>
        </w:trPr>
        <w:tc>
          <w:tcPr>
            <w:tcW w:w="898" w:type="dxa"/>
            <w:tcBorders>
              <w:top w:val="nil"/>
              <w:left w:val="single" w:sz="8" w:space="0" w:color="auto"/>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Part Time + full time</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r>
      <w:tr w:rsidR="006467D0" w:rsidRPr="006467D0" w:rsidTr="006467D0">
        <w:trPr>
          <w:trHeight w:val="315"/>
        </w:trPr>
        <w:tc>
          <w:tcPr>
            <w:tcW w:w="898" w:type="dxa"/>
            <w:tcBorders>
              <w:top w:val="nil"/>
              <w:left w:val="single" w:sz="8" w:space="0" w:color="auto"/>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Tenured</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434</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424</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437</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445</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446</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456</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459</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463</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467</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463</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466</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453</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450</w:t>
            </w:r>
          </w:p>
        </w:tc>
      </w:tr>
      <w:tr w:rsidR="006467D0" w:rsidRPr="006467D0" w:rsidTr="006467D0">
        <w:trPr>
          <w:trHeight w:val="315"/>
        </w:trPr>
        <w:tc>
          <w:tcPr>
            <w:tcW w:w="898" w:type="dxa"/>
            <w:tcBorders>
              <w:top w:val="nil"/>
              <w:left w:val="single" w:sz="8" w:space="0" w:color="auto"/>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Tenure Track (asst.)</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178</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177</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177</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142</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144</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130</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122</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131</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126</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121</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127</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112</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119</w:t>
            </w:r>
          </w:p>
        </w:tc>
      </w:tr>
      <w:tr w:rsidR="006467D0" w:rsidRPr="006467D0" w:rsidTr="006467D0">
        <w:trPr>
          <w:trHeight w:val="315"/>
        </w:trPr>
        <w:tc>
          <w:tcPr>
            <w:tcW w:w="898" w:type="dxa"/>
            <w:tcBorders>
              <w:top w:val="nil"/>
              <w:left w:val="single" w:sz="8" w:space="0" w:color="auto"/>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Non Tenure-Track</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c>
          <w:tcPr>
            <w:tcW w:w="720" w:type="dxa"/>
            <w:tcBorders>
              <w:top w:val="nil"/>
              <w:left w:val="nil"/>
              <w:bottom w:val="single" w:sz="8" w:space="0" w:color="auto"/>
              <w:right w:val="single" w:sz="8" w:space="0" w:color="auto"/>
            </w:tcBorders>
            <w:shd w:val="clear" w:color="auto" w:fill="auto"/>
            <w:noWrap/>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 </w:t>
            </w:r>
          </w:p>
        </w:tc>
      </w:tr>
      <w:tr w:rsidR="006467D0" w:rsidRPr="006467D0" w:rsidTr="006467D0">
        <w:trPr>
          <w:trHeight w:val="315"/>
        </w:trPr>
        <w:tc>
          <w:tcPr>
            <w:tcW w:w="898" w:type="dxa"/>
            <w:tcBorders>
              <w:top w:val="nil"/>
              <w:left w:val="single" w:sz="8" w:space="0" w:color="auto"/>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full time</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106</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93</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71</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74</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79</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79</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78</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80</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75</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79</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92</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69</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61</w:t>
            </w:r>
          </w:p>
        </w:tc>
      </w:tr>
      <w:tr w:rsidR="006467D0" w:rsidRPr="006467D0" w:rsidTr="006467D0">
        <w:trPr>
          <w:trHeight w:val="315"/>
        </w:trPr>
        <w:tc>
          <w:tcPr>
            <w:tcW w:w="898" w:type="dxa"/>
            <w:tcBorders>
              <w:top w:val="nil"/>
              <w:left w:val="single" w:sz="8" w:space="0" w:color="auto"/>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rPr>
                <w:rFonts w:eastAsia="Times New Roman" w:cs="Times New Roman"/>
                <w:color w:val="000000"/>
                <w:sz w:val="20"/>
                <w:szCs w:val="20"/>
              </w:rPr>
            </w:pPr>
            <w:r w:rsidRPr="006467D0">
              <w:rPr>
                <w:rFonts w:eastAsia="Times New Roman" w:cs="Times New Roman"/>
                <w:color w:val="000000"/>
                <w:sz w:val="20"/>
                <w:szCs w:val="20"/>
              </w:rPr>
              <w:t>part time</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134</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148</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114</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123</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160</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145</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152</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181</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142</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160</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147</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154</w:t>
            </w:r>
          </w:p>
        </w:tc>
        <w:tc>
          <w:tcPr>
            <w:tcW w:w="720" w:type="dxa"/>
            <w:tcBorders>
              <w:top w:val="nil"/>
              <w:left w:val="nil"/>
              <w:bottom w:val="single" w:sz="8" w:space="0" w:color="auto"/>
              <w:right w:val="single" w:sz="8" w:space="0" w:color="auto"/>
            </w:tcBorders>
            <w:shd w:val="clear" w:color="auto" w:fill="auto"/>
            <w:noWrap/>
            <w:vAlign w:val="center"/>
            <w:hideMark/>
          </w:tcPr>
          <w:p w:rsidR="006467D0" w:rsidRPr="006467D0" w:rsidRDefault="006467D0" w:rsidP="006467D0">
            <w:pPr>
              <w:spacing w:after="0" w:line="240" w:lineRule="auto"/>
              <w:jc w:val="right"/>
              <w:rPr>
                <w:rFonts w:eastAsia="Times New Roman" w:cs="Times New Roman"/>
                <w:color w:val="000000"/>
                <w:sz w:val="20"/>
                <w:szCs w:val="20"/>
              </w:rPr>
            </w:pPr>
            <w:r w:rsidRPr="006467D0">
              <w:rPr>
                <w:rFonts w:eastAsia="Times New Roman" w:cs="Times New Roman"/>
                <w:color w:val="000000"/>
                <w:sz w:val="20"/>
                <w:szCs w:val="20"/>
              </w:rPr>
              <w:t>171</w:t>
            </w:r>
          </w:p>
        </w:tc>
      </w:tr>
    </w:tbl>
    <w:p w:rsidR="009151F1" w:rsidRDefault="00E05CEB" w:rsidP="00194849">
      <w:r>
        <w:t>Based on current trends, the University is moving away from hiring tenure track professors (beginning in 2004) and towards hiring part time adjuncts</w:t>
      </w:r>
      <w:r w:rsidR="000B2A7C">
        <w:t xml:space="preserve">. The impact of part time adjuncts is difficult to discern from this headcount in that </w:t>
      </w:r>
      <w:r w:rsidR="005D3486">
        <w:t>this does not reflect the number of courses taught.</w:t>
      </w:r>
    </w:p>
    <w:p w:rsidR="00E05CEB" w:rsidRPr="00194849" w:rsidRDefault="002248EA" w:rsidP="00A37AFB">
      <w:pPr>
        <w:jc w:val="center"/>
      </w:pPr>
      <w:r>
        <w:rPr>
          <w:noProof/>
        </w:rPr>
        <w:drawing>
          <wp:inline distT="0" distB="0" distL="0" distR="0" wp14:anchorId="1B54E982" wp14:editId="21FC3018">
            <wp:extent cx="5943600" cy="3212465"/>
            <wp:effectExtent l="0" t="0" r="19050" b="260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37AFB" w:rsidRDefault="00A37AFB" w:rsidP="00A37AFB"/>
    <w:p w:rsidR="00A37AFB" w:rsidRDefault="00A37AFB">
      <w:r>
        <w:t xml:space="preserve">The number of </w:t>
      </w:r>
      <w:r w:rsidR="0069782A">
        <w:t xml:space="preserve">tenure-track </w:t>
      </w:r>
      <w:r>
        <w:t xml:space="preserve">assistant professors has fallen </w:t>
      </w:r>
      <w:r w:rsidR="0069782A">
        <w:t>33</w:t>
      </w:r>
      <w:r>
        <w:t>% since 2001.</w:t>
      </w:r>
      <w:r w:rsidR="000B2A7C">
        <w:t xml:space="preserve"> This is part of a national trend not unique to UNI and </w:t>
      </w:r>
      <w:r w:rsidR="00645D12">
        <w:t>coincides with cuts in state appropriations</w:t>
      </w:r>
      <w:r w:rsidR="00695BA1">
        <w:t xml:space="preserve"> beginning in 2002</w:t>
      </w:r>
      <w:r w:rsidR="000B2A7C">
        <w:t>.</w:t>
      </w:r>
      <w:r>
        <w:br w:type="page"/>
      </w:r>
    </w:p>
    <w:p w:rsidR="000E6D02" w:rsidRDefault="00194849" w:rsidP="00F77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194849">
        <w:lastRenderedPageBreak/>
        <w:t xml:space="preserve">IV. </w:t>
      </w:r>
      <w:r w:rsidRPr="00DE163F">
        <w:rPr>
          <w:rFonts w:eastAsia="Times New Roman" w:cs="Courier New"/>
        </w:rPr>
        <w:t xml:space="preserve">Expenses based on type </w:t>
      </w:r>
      <w:r w:rsidR="00463E0F">
        <w:rPr>
          <w:rFonts w:eastAsia="Times New Roman" w:cs="Courier New"/>
        </w:rPr>
        <w:t>and salary budgeting priorities</w:t>
      </w:r>
    </w:p>
    <w:p w:rsidR="00F77216" w:rsidRDefault="00F77216" w:rsidP="00F77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tbl>
      <w:tblPr>
        <w:tblStyle w:val="TableGrid"/>
        <w:tblW w:w="9576" w:type="dxa"/>
        <w:tblLook w:val="04A0" w:firstRow="1" w:lastRow="0" w:firstColumn="1" w:lastColumn="0" w:noHBand="0" w:noVBand="1"/>
      </w:tblPr>
      <w:tblGrid>
        <w:gridCol w:w="1008"/>
        <w:gridCol w:w="891"/>
        <w:gridCol w:w="853"/>
        <w:gridCol w:w="853"/>
        <w:gridCol w:w="853"/>
        <w:gridCol w:w="853"/>
        <w:gridCol w:w="853"/>
        <w:gridCol w:w="853"/>
        <w:gridCol w:w="853"/>
        <w:gridCol w:w="853"/>
        <w:gridCol w:w="853"/>
      </w:tblGrid>
      <w:tr w:rsidR="00F77216" w:rsidRPr="00F77216" w:rsidTr="008B4D2F">
        <w:trPr>
          <w:trHeight w:val="375"/>
        </w:trPr>
        <w:tc>
          <w:tcPr>
            <w:tcW w:w="1008" w:type="dxa"/>
            <w:noWrap/>
            <w:hideMark/>
          </w:tcPr>
          <w:p w:rsidR="00F77216" w:rsidRPr="00F77216" w:rsidRDefault="00F77216" w:rsidP="00F77216">
            <w:pPr>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(in k$)</w:t>
            </w:r>
          </w:p>
        </w:tc>
        <w:tc>
          <w:tcPr>
            <w:tcW w:w="891" w:type="dxa"/>
            <w:noWrap/>
            <w:hideMark/>
          </w:tcPr>
          <w:p w:rsidR="00F77216" w:rsidRPr="00F77216" w:rsidRDefault="00F77216" w:rsidP="00F77216">
            <w:pPr>
              <w:jc w:val="center"/>
              <w:rPr>
                <w:rFonts w:ascii="Calibri" w:eastAsia="Times New Roman" w:hAnsi="Calibri" w:cs="Times New Roman"/>
                <w:b/>
                <w:bCs/>
                <w:color w:val="000000"/>
                <w:sz w:val="18"/>
                <w:szCs w:val="18"/>
              </w:rPr>
            </w:pPr>
            <w:r w:rsidRPr="00F77216">
              <w:rPr>
                <w:rFonts w:ascii="Calibri" w:eastAsia="Times New Roman" w:hAnsi="Calibri" w:cs="Times New Roman"/>
                <w:b/>
                <w:bCs/>
                <w:color w:val="000000"/>
                <w:sz w:val="18"/>
                <w:szCs w:val="18"/>
              </w:rPr>
              <w:t>2003</w:t>
            </w:r>
          </w:p>
        </w:tc>
        <w:tc>
          <w:tcPr>
            <w:tcW w:w="853" w:type="dxa"/>
            <w:noWrap/>
            <w:hideMark/>
          </w:tcPr>
          <w:p w:rsidR="00F77216" w:rsidRPr="00F77216" w:rsidRDefault="00F77216" w:rsidP="00F77216">
            <w:pPr>
              <w:jc w:val="center"/>
              <w:rPr>
                <w:rFonts w:ascii="Calibri" w:eastAsia="Times New Roman" w:hAnsi="Calibri" w:cs="Times New Roman"/>
                <w:b/>
                <w:bCs/>
                <w:color w:val="000000"/>
                <w:sz w:val="18"/>
                <w:szCs w:val="18"/>
              </w:rPr>
            </w:pPr>
            <w:r w:rsidRPr="00F77216">
              <w:rPr>
                <w:rFonts w:ascii="Calibri" w:eastAsia="Times New Roman" w:hAnsi="Calibri" w:cs="Times New Roman"/>
                <w:b/>
                <w:bCs/>
                <w:color w:val="000000"/>
                <w:sz w:val="18"/>
                <w:szCs w:val="18"/>
              </w:rPr>
              <w:t>2004</w:t>
            </w:r>
          </w:p>
        </w:tc>
        <w:tc>
          <w:tcPr>
            <w:tcW w:w="853" w:type="dxa"/>
            <w:noWrap/>
            <w:hideMark/>
          </w:tcPr>
          <w:p w:rsidR="00F77216" w:rsidRPr="00F77216" w:rsidRDefault="00F77216" w:rsidP="00F77216">
            <w:pPr>
              <w:jc w:val="center"/>
              <w:rPr>
                <w:rFonts w:ascii="Calibri" w:eastAsia="Times New Roman" w:hAnsi="Calibri" w:cs="Times New Roman"/>
                <w:b/>
                <w:bCs/>
                <w:color w:val="000000"/>
                <w:sz w:val="18"/>
                <w:szCs w:val="18"/>
              </w:rPr>
            </w:pPr>
            <w:r w:rsidRPr="00F77216">
              <w:rPr>
                <w:rFonts w:ascii="Calibri" w:eastAsia="Times New Roman" w:hAnsi="Calibri" w:cs="Times New Roman"/>
                <w:b/>
                <w:bCs/>
                <w:color w:val="000000"/>
                <w:sz w:val="18"/>
                <w:szCs w:val="18"/>
              </w:rPr>
              <w:t>2005</w:t>
            </w:r>
          </w:p>
        </w:tc>
        <w:tc>
          <w:tcPr>
            <w:tcW w:w="853" w:type="dxa"/>
            <w:noWrap/>
            <w:hideMark/>
          </w:tcPr>
          <w:p w:rsidR="00F77216" w:rsidRPr="00F77216" w:rsidRDefault="00F77216" w:rsidP="00F77216">
            <w:pPr>
              <w:jc w:val="center"/>
              <w:rPr>
                <w:rFonts w:ascii="Calibri" w:eastAsia="Times New Roman" w:hAnsi="Calibri" w:cs="Times New Roman"/>
                <w:b/>
                <w:bCs/>
                <w:color w:val="000000"/>
                <w:sz w:val="18"/>
                <w:szCs w:val="18"/>
              </w:rPr>
            </w:pPr>
            <w:r w:rsidRPr="00F77216">
              <w:rPr>
                <w:rFonts w:ascii="Calibri" w:eastAsia="Times New Roman" w:hAnsi="Calibri" w:cs="Times New Roman"/>
                <w:b/>
                <w:bCs/>
                <w:color w:val="000000"/>
                <w:sz w:val="18"/>
                <w:szCs w:val="18"/>
              </w:rPr>
              <w:t>2006</w:t>
            </w:r>
          </w:p>
        </w:tc>
        <w:tc>
          <w:tcPr>
            <w:tcW w:w="853" w:type="dxa"/>
            <w:noWrap/>
            <w:hideMark/>
          </w:tcPr>
          <w:p w:rsidR="00F77216" w:rsidRPr="00F77216" w:rsidRDefault="00F77216" w:rsidP="00F77216">
            <w:pPr>
              <w:jc w:val="center"/>
              <w:rPr>
                <w:rFonts w:ascii="Calibri" w:eastAsia="Times New Roman" w:hAnsi="Calibri" w:cs="Times New Roman"/>
                <w:b/>
                <w:bCs/>
                <w:color w:val="000000"/>
                <w:sz w:val="18"/>
                <w:szCs w:val="18"/>
              </w:rPr>
            </w:pPr>
            <w:r w:rsidRPr="00F77216">
              <w:rPr>
                <w:rFonts w:ascii="Calibri" w:eastAsia="Times New Roman" w:hAnsi="Calibri" w:cs="Times New Roman"/>
                <w:b/>
                <w:bCs/>
                <w:color w:val="000000"/>
                <w:sz w:val="18"/>
                <w:szCs w:val="18"/>
              </w:rPr>
              <w:t>2007</w:t>
            </w:r>
          </w:p>
        </w:tc>
        <w:tc>
          <w:tcPr>
            <w:tcW w:w="853" w:type="dxa"/>
            <w:noWrap/>
            <w:hideMark/>
          </w:tcPr>
          <w:p w:rsidR="00F77216" w:rsidRPr="00F77216" w:rsidRDefault="00F77216" w:rsidP="00F77216">
            <w:pPr>
              <w:jc w:val="center"/>
              <w:rPr>
                <w:rFonts w:ascii="Calibri" w:eastAsia="Times New Roman" w:hAnsi="Calibri" w:cs="Times New Roman"/>
                <w:b/>
                <w:bCs/>
                <w:color w:val="000000"/>
                <w:sz w:val="18"/>
                <w:szCs w:val="18"/>
              </w:rPr>
            </w:pPr>
            <w:r w:rsidRPr="00F77216">
              <w:rPr>
                <w:rFonts w:ascii="Calibri" w:eastAsia="Times New Roman" w:hAnsi="Calibri" w:cs="Times New Roman"/>
                <w:b/>
                <w:bCs/>
                <w:color w:val="000000"/>
                <w:sz w:val="18"/>
                <w:szCs w:val="18"/>
              </w:rPr>
              <w:t>2008</w:t>
            </w:r>
          </w:p>
        </w:tc>
        <w:tc>
          <w:tcPr>
            <w:tcW w:w="853" w:type="dxa"/>
            <w:noWrap/>
            <w:hideMark/>
          </w:tcPr>
          <w:p w:rsidR="00F77216" w:rsidRPr="00F77216" w:rsidRDefault="00F77216" w:rsidP="00F77216">
            <w:pPr>
              <w:jc w:val="center"/>
              <w:rPr>
                <w:rFonts w:ascii="Calibri" w:eastAsia="Times New Roman" w:hAnsi="Calibri" w:cs="Times New Roman"/>
                <w:b/>
                <w:bCs/>
                <w:color w:val="000000"/>
                <w:sz w:val="18"/>
                <w:szCs w:val="18"/>
              </w:rPr>
            </w:pPr>
            <w:r w:rsidRPr="00F77216">
              <w:rPr>
                <w:rFonts w:ascii="Calibri" w:eastAsia="Times New Roman" w:hAnsi="Calibri" w:cs="Times New Roman"/>
                <w:b/>
                <w:bCs/>
                <w:color w:val="000000"/>
                <w:sz w:val="18"/>
                <w:szCs w:val="18"/>
              </w:rPr>
              <w:t>2009</w:t>
            </w:r>
          </w:p>
        </w:tc>
        <w:tc>
          <w:tcPr>
            <w:tcW w:w="853" w:type="dxa"/>
            <w:shd w:val="clear" w:color="auto" w:fill="FFFF00"/>
            <w:noWrap/>
            <w:hideMark/>
          </w:tcPr>
          <w:p w:rsidR="00F77216" w:rsidRPr="008B4D2F" w:rsidRDefault="00F77216" w:rsidP="00F77216">
            <w:pPr>
              <w:jc w:val="center"/>
              <w:rPr>
                <w:rFonts w:ascii="Calibri" w:eastAsia="Times New Roman" w:hAnsi="Calibri" w:cs="Times New Roman"/>
                <w:b/>
                <w:bCs/>
                <w:color w:val="000000"/>
                <w:sz w:val="18"/>
                <w:szCs w:val="18"/>
                <w:highlight w:val="yellow"/>
              </w:rPr>
            </w:pPr>
            <w:r w:rsidRPr="008B4D2F">
              <w:rPr>
                <w:rFonts w:ascii="Calibri" w:eastAsia="Times New Roman" w:hAnsi="Calibri" w:cs="Times New Roman"/>
                <w:b/>
                <w:bCs/>
                <w:color w:val="000000"/>
                <w:sz w:val="18"/>
                <w:szCs w:val="18"/>
                <w:highlight w:val="yellow"/>
              </w:rPr>
              <w:t>2010</w:t>
            </w:r>
          </w:p>
        </w:tc>
        <w:tc>
          <w:tcPr>
            <w:tcW w:w="853" w:type="dxa"/>
            <w:shd w:val="clear" w:color="auto" w:fill="FFFF00"/>
            <w:noWrap/>
            <w:hideMark/>
          </w:tcPr>
          <w:p w:rsidR="00F77216" w:rsidRPr="008B4D2F" w:rsidRDefault="00F77216" w:rsidP="00F77216">
            <w:pPr>
              <w:jc w:val="center"/>
              <w:rPr>
                <w:rFonts w:ascii="Calibri" w:eastAsia="Times New Roman" w:hAnsi="Calibri" w:cs="Times New Roman"/>
                <w:b/>
                <w:bCs/>
                <w:color w:val="000000"/>
                <w:sz w:val="18"/>
                <w:szCs w:val="18"/>
                <w:highlight w:val="yellow"/>
              </w:rPr>
            </w:pPr>
            <w:r w:rsidRPr="008B4D2F">
              <w:rPr>
                <w:rFonts w:ascii="Calibri" w:eastAsia="Times New Roman" w:hAnsi="Calibri" w:cs="Times New Roman"/>
                <w:b/>
                <w:bCs/>
                <w:color w:val="000000"/>
                <w:sz w:val="18"/>
                <w:szCs w:val="18"/>
                <w:highlight w:val="yellow"/>
              </w:rPr>
              <w:t>2011</w:t>
            </w:r>
          </w:p>
        </w:tc>
        <w:tc>
          <w:tcPr>
            <w:tcW w:w="853" w:type="dxa"/>
            <w:noWrap/>
            <w:hideMark/>
          </w:tcPr>
          <w:p w:rsidR="00F77216" w:rsidRPr="00F77216" w:rsidRDefault="00F77216" w:rsidP="00F77216">
            <w:pPr>
              <w:jc w:val="center"/>
              <w:rPr>
                <w:rFonts w:ascii="Calibri" w:eastAsia="Times New Roman" w:hAnsi="Calibri" w:cs="Times New Roman"/>
                <w:b/>
                <w:bCs/>
                <w:color w:val="000000"/>
                <w:sz w:val="18"/>
                <w:szCs w:val="18"/>
              </w:rPr>
            </w:pPr>
            <w:r w:rsidRPr="00F77216">
              <w:rPr>
                <w:rFonts w:ascii="Calibri" w:eastAsia="Times New Roman" w:hAnsi="Calibri" w:cs="Times New Roman"/>
                <w:b/>
                <w:bCs/>
                <w:color w:val="000000"/>
                <w:sz w:val="18"/>
                <w:szCs w:val="18"/>
              </w:rPr>
              <w:t>2012</w:t>
            </w:r>
          </w:p>
        </w:tc>
      </w:tr>
      <w:tr w:rsidR="00F77216" w:rsidRPr="00F77216" w:rsidTr="008B4D2F">
        <w:trPr>
          <w:trHeight w:val="300"/>
        </w:trPr>
        <w:tc>
          <w:tcPr>
            <w:tcW w:w="1008" w:type="dxa"/>
            <w:noWrap/>
            <w:hideMark/>
          </w:tcPr>
          <w:p w:rsidR="00F77216" w:rsidRPr="00F77216" w:rsidRDefault="00F77216" w:rsidP="00F77216">
            <w:pPr>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Instruct</w:t>
            </w:r>
            <w:r>
              <w:rPr>
                <w:rFonts w:ascii="Calibri" w:eastAsia="Times New Roman" w:hAnsi="Calibri" w:cs="Times New Roman"/>
                <w:color w:val="000000"/>
                <w:sz w:val="18"/>
                <w:szCs w:val="18"/>
              </w:rPr>
              <w:t>.</w:t>
            </w:r>
          </w:p>
        </w:tc>
        <w:tc>
          <w:tcPr>
            <w:tcW w:w="891"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$55,079</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$57,091</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$57,359</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$59,422</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$60,302</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$62,875</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$66,492</w:t>
            </w:r>
          </w:p>
        </w:tc>
        <w:tc>
          <w:tcPr>
            <w:tcW w:w="853" w:type="dxa"/>
            <w:shd w:val="clear" w:color="auto" w:fill="FFFF00"/>
            <w:noWrap/>
            <w:hideMark/>
          </w:tcPr>
          <w:p w:rsidR="00F77216" w:rsidRPr="008B4D2F" w:rsidRDefault="00F77216" w:rsidP="00F77216">
            <w:pPr>
              <w:jc w:val="right"/>
              <w:rPr>
                <w:rFonts w:ascii="Calibri" w:eastAsia="Times New Roman" w:hAnsi="Calibri" w:cs="Times New Roman"/>
                <w:color w:val="000000"/>
                <w:sz w:val="18"/>
                <w:szCs w:val="18"/>
                <w:highlight w:val="yellow"/>
              </w:rPr>
            </w:pPr>
            <w:r w:rsidRPr="008B4D2F">
              <w:rPr>
                <w:rFonts w:ascii="Calibri" w:eastAsia="Times New Roman" w:hAnsi="Calibri" w:cs="Times New Roman"/>
                <w:color w:val="000000"/>
                <w:sz w:val="18"/>
                <w:szCs w:val="18"/>
                <w:highlight w:val="yellow"/>
              </w:rPr>
              <w:t>$60,382</w:t>
            </w:r>
          </w:p>
        </w:tc>
        <w:tc>
          <w:tcPr>
            <w:tcW w:w="853" w:type="dxa"/>
            <w:shd w:val="clear" w:color="auto" w:fill="FFFF00"/>
            <w:noWrap/>
            <w:hideMark/>
          </w:tcPr>
          <w:p w:rsidR="00F77216" w:rsidRPr="008B4D2F" w:rsidRDefault="00F77216" w:rsidP="00F77216">
            <w:pPr>
              <w:jc w:val="right"/>
              <w:rPr>
                <w:rFonts w:ascii="Calibri" w:eastAsia="Times New Roman" w:hAnsi="Calibri" w:cs="Times New Roman"/>
                <w:color w:val="000000"/>
                <w:sz w:val="18"/>
                <w:szCs w:val="18"/>
                <w:highlight w:val="yellow"/>
              </w:rPr>
            </w:pPr>
            <w:r w:rsidRPr="008B4D2F">
              <w:rPr>
                <w:rFonts w:ascii="Calibri" w:eastAsia="Times New Roman" w:hAnsi="Calibri" w:cs="Times New Roman"/>
                <w:color w:val="000000"/>
                <w:sz w:val="18"/>
                <w:szCs w:val="18"/>
                <w:highlight w:val="yellow"/>
              </w:rPr>
              <w:t>$65,170</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$67,096</w:t>
            </w:r>
          </w:p>
        </w:tc>
      </w:tr>
      <w:tr w:rsidR="00F77216" w:rsidRPr="00F77216" w:rsidTr="008B4D2F">
        <w:trPr>
          <w:trHeight w:val="300"/>
        </w:trPr>
        <w:tc>
          <w:tcPr>
            <w:tcW w:w="1008" w:type="dxa"/>
            <w:noWrap/>
            <w:hideMark/>
          </w:tcPr>
          <w:p w:rsidR="00F77216" w:rsidRPr="00F77216" w:rsidRDefault="00F77216" w:rsidP="00F77216">
            <w:pPr>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 xml:space="preserve">Academic Support </w:t>
            </w:r>
          </w:p>
        </w:tc>
        <w:tc>
          <w:tcPr>
            <w:tcW w:w="891"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$14,560</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$13,711</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$13,393</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$13,947</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$14,005</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$15,343</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$16,155</w:t>
            </w:r>
          </w:p>
        </w:tc>
        <w:tc>
          <w:tcPr>
            <w:tcW w:w="853" w:type="dxa"/>
            <w:shd w:val="clear" w:color="auto" w:fill="FFFF00"/>
            <w:noWrap/>
            <w:hideMark/>
          </w:tcPr>
          <w:p w:rsidR="00F77216" w:rsidRPr="008B4D2F" w:rsidRDefault="00F77216" w:rsidP="00F77216">
            <w:pPr>
              <w:jc w:val="right"/>
              <w:rPr>
                <w:rFonts w:ascii="Calibri" w:eastAsia="Times New Roman" w:hAnsi="Calibri" w:cs="Times New Roman"/>
                <w:color w:val="000000"/>
                <w:sz w:val="18"/>
                <w:szCs w:val="18"/>
                <w:highlight w:val="yellow"/>
              </w:rPr>
            </w:pPr>
            <w:r w:rsidRPr="008B4D2F">
              <w:rPr>
                <w:rFonts w:ascii="Calibri" w:eastAsia="Times New Roman" w:hAnsi="Calibri" w:cs="Times New Roman"/>
                <w:color w:val="000000"/>
                <w:sz w:val="18"/>
                <w:szCs w:val="18"/>
                <w:highlight w:val="yellow"/>
              </w:rPr>
              <w:t>$16,253</w:t>
            </w:r>
          </w:p>
        </w:tc>
        <w:tc>
          <w:tcPr>
            <w:tcW w:w="853" w:type="dxa"/>
            <w:shd w:val="clear" w:color="auto" w:fill="FFFF00"/>
            <w:noWrap/>
            <w:hideMark/>
          </w:tcPr>
          <w:p w:rsidR="00F77216" w:rsidRPr="008B4D2F" w:rsidRDefault="00F77216" w:rsidP="00F77216">
            <w:pPr>
              <w:jc w:val="right"/>
              <w:rPr>
                <w:rFonts w:ascii="Calibri" w:eastAsia="Times New Roman" w:hAnsi="Calibri" w:cs="Times New Roman"/>
                <w:color w:val="000000"/>
                <w:sz w:val="18"/>
                <w:szCs w:val="18"/>
                <w:highlight w:val="yellow"/>
              </w:rPr>
            </w:pPr>
            <w:r w:rsidRPr="008B4D2F">
              <w:rPr>
                <w:rFonts w:ascii="Calibri" w:eastAsia="Times New Roman" w:hAnsi="Calibri" w:cs="Times New Roman"/>
                <w:color w:val="000000"/>
                <w:sz w:val="18"/>
                <w:szCs w:val="18"/>
                <w:highlight w:val="yellow"/>
              </w:rPr>
              <w:t>$12,484</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$12,717</w:t>
            </w:r>
          </w:p>
        </w:tc>
      </w:tr>
      <w:tr w:rsidR="00F77216" w:rsidRPr="00F77216" w:rsidTr="008B4D2F">
        <w:trPr>
          <w:trHeight w:val="300"/>
        </w:trPr>
        <w:tc>
          <w:tcPr>
            <w:tcW w:w="1008" w:type="dxa"/>
            <w:noWrap/>
            <w:hideMark/>
          </w:tcPr>
          <w:p w:rsidR="00F77216" w:rsidRPr="00F77216" w:rsidRDefault="00F77216" w:rsidP="00F77216">
            <w:pPr>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Inst</w:t>
            </w:r>
            <w:r>
              <w:rPr>
                <w:rFonts w:ascii="Calibri" w:eastAsia="Times New Roman" w:hAnsi="Calibri" w:cs="Times New Roman"/>
                <w:color w:val="000000"/>
                <w:sz w:val="18"/>
                <w:szCs w:val="18"/>
              </w:rPr>
              <w:t xml:space="preserve">. </w:t>
            </w:r>
            <w:r w:rsidRPr="00F77216">
              <w:rPr>
                <w:rFonts w:ascii="Calibri" w:eastAsia="Times New Roman" w:hAnsi="Calibri" w:cs="Times New Roman"/>
                <w:color w:val="000000"/>
                <w:sz w:val="18"/>
                <w:szCs w:val="18"/>
              </w:rPr>
              <w:t xml:space="preserve">Support </w:t>
            </w:r>
          </w:p>
        </w:tc>
        <w:tc>
          <w:tcPr>
            <w:tcW w:w="891"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$15,941</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$16,681</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$17,338</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$18,473</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$19,110</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$20,228</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$21,938</w:t>
            </w:r>
          </w:p>
        </w:tc>
        <w:tc>
          <w:tcPr>
            <w:tcW w:w="853" w:type="dxa"/>
            <w:shd w:val="clear" w:color="auto" w:fill="FFFF00"/>
            <w:noWrap/>
            <w:hideMark/>
          </w:tcPr>
          <w:p w:rsidR="00F77216" w:rsidRPr="008B4D2F" w:rsidRDefault="00F77216" w:rsidP="00F77216">
            <w:pPr>
              <w:jc w:val="right"/>
              <w:rPr>
                <w:rFonts w:ascii="Calibri" w:eastAsia="Times New Roman" w:hAnsi="Calibri" w:cs="Times New Roman"/>
                <w:color w:val="000000"/>
                <w:sz w:val="18"/>
                <w:szCs w:val="18"/>
                <w:highlight w:val="yellow"/>
              </w:rPr>
            </w:pPr>
            <w:r w:rsidRPr="008B4D2F">
              <w:rPr>
                <w:rFonts w:ascii="Calibri" w:eastAsia="Times New Roman" w:hAnsi="Calibri" w:cs="Times New Roman"/>
                <w:color w:val="000000"/>
                <w:sz w:val="18"/>
                <w:szCs w:val="18"/>
                <w:highlight w:val="yellow"/>
              </w:rPr>
              <w:t>$22,558</w:t>
            </w:r>
          </w:p>
        </w:tc>
        <w:tc>
          <w:tcPr>
            <w:tcW w:w="853" w:type="dxa"/>
            <w:shd w:val="clear" w:color="auto" w:fill="FFFF00"/>
            <w:noWrap/>
            <w:hideMark/>
          </w:tcPr>
          <w:p w:rsidR="00F77216" w:rsidRPr="008B4D2F" w:rsidRDefault="00F77216" w:rsidP="00F77216">
            <w:pPr>
              <w:jc w:val="right"/>
              <w:rPr>
                <w:rFonts w:ascii="Calibri" w:eastAsia="Times New Roman" w:hAnsi="Calibri" w:cs="Times New Roman"/>
                <w:color w:val="000000"/>
                <w:sz w:val="18"/>
                <w:szCs w:val="18"/>
                <w:highlight w:val="yellow"/>
              </w:rPr>
            </w:pPr>
            <w:r w:rsidRPr="008B4D2F">
              <w:rPr>
                <w:rFonts w:ascii="Calibri" w:eastAsia="Times New Roman" w:hAnsi="Calibri" w:cs="Times New Roman"/>
                <w:color w:val="000000"/>
                <w:sz w:val="18"/>
                <w:szCs w:val="18"/>
                <w:highlight w:val="yellow"/>
              </w:rPr>
              <w:t>$19,078</w:t>
            </w:r>
          </w:p>
        </w:tc>
        <w:tc>
          <w:tcPr>
            <w:tcW w:w="853" w:type="dxa"/>
            <w:noWrap/>
            <w:hideMark/>
          </w:tcPr>
          <w:p w:rsidR="00F77216" w:rsidRPr="00F77216" w:rsidRDefault="00F77216" w:rsidP="00F77216">
            <w:pPr>
              <w:jc w:val="right"/>
              <w:rPr>
                <w:rFonts w:ascii="Calibri" w:eastAsia="Times New Roman" w:hAnsi="Calibri" w:cs="Times New Roman"/>
                <w:color w:val="000000"/>
                <w:sz w:val="18"/>
                <w:szCs w:val="18"/>
              </w:rPr>
            </w:pPr>
            <w:r w:rsidRPr="00F77216">
              <w:rPr>
                <w:rFonts w:ascii="Calibri" w:eastAsia="Times New Roman" w:hAnsi="Calibri" w:cs="Times New Roman"/>
                <w:color w:val="000000"/>
                <w:sz w:val="18"/>
                <w:szCs w:val="18"/>
              </w:rPr>
              <w:t>$21,228</w:t>
            </w:r>
          </w:p>
        </w:tc>
      </w:tr>
    </w:tbl>
    <w:p w:rsidR="00F77216" w:rsidRDefault="00F77216" w:rsidP="00F77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194849" w:rsidRDefault="00F77216" w:rsidP="0019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Note year</w:t>
      </w:r>
      <w:r w:rsidR="005D3486">
        <w:rPr>
          <w:rFonts w:eastAsia="Times New Roman" w:cs="Courier New"/>
        </w:rPr>
        <w:t>s</w:t>
      </w:r>
      <w:r>
        <w:rPr>
          <w:rFonts w:eastAsia="Times New Roman" w:cs="Courier New"/>
        </w:rPr>
        <w:t xml:space="preserve"> </w:t>
      </w:r>
      <w:r w:rsidR="005D3486">
        <w:rPr>
          <w:rFonts w:eastAsia="Times New Roman" w:cs="Courier New"/>
        </w:rPr>
        <w:t>2010-</w:t>
      </w:r>
      <w:r>
        <w:rPr>
          <w:rFonts w:eastAsia="Times New Roman" w:cs="Courier New"/>
        </w:rPr>
        <w:t xml:space="preserve">2011 </w:t>
      </w:r>
      <w:r w:rsidR="005D3486">
        <w:rPr>
          <w:rFonts w:eastAsia="Times New Roman" w:cs="Courier New"/>
        </w:rPr>
        <w:t>are</w:t>
      </w:r>
      <w:r>
        <w:rPr>
          <w:rFonts w:eastAsia="Times New Roman" w:cs="Courier New"/>
        </w:rPr>
        <w:t xml:space="preserve"> anomalous. </w:t>
      </w:r>
      <w:r w:rsidR="00623060">
        <w:rPr>
          <w:rFonts w:eastAsia="Times New Roman" w:cs="Courier New"/>
        </w:rPr>
        <w:t>There is a s</w:t>
      </w:r>
      <w:r>
        <w:rPr>
          <w:rFonts w:eastAsia="Times New Roman" w:cs="Courier New"/>
        </w:rPr>
        <w:t xml:space="preserve">harp drop in academic support &amp; institutional support &amp; increase in instruction. This does not correlate with a sharp increase in faculty #’s. It </w:t>
      </w:r>
      <w:r w:rsidR="0087380E">
        <w:rPr>
          <w:rFonts w:eastAsia="Times New Roman" w:cs="Courier New"/>
        </w:rPr>
        <w:t>is not clear whether this is from one-time circumstances as this year coincided with furloughs and an early retirement incentive plan or possibly from re-categorization of job titles</w:t>
      </w:r>
      <w:r>
        <w:rPr>
          <w:rFonts w:eastAsia="Times New Roman" w:cs="Courier New"/>
        </w:rPr>
        <w:t xml:space="preserve"> in this year.</w:t>
      </w:r>
      <w:r w:rsidR="0087380E">
        <w:rPr>
          <w:rFonts w:eastAsia="Times New Roman" w:cs="Courier New"/>
        </w:rPr>
        <w:t xml:space="preserve"> This year merits further investigation to clarify the information</w:t>
      </w:r>
      <w:r w:rsidR="005D3486">
        <w:rPr>
          <w:rFonts w:eastAsia="Times New Roman" w:cs="Courier New"/>
        </w:rPr>
        <w:t xml:space="preserve"> and shows the need for more nuanced analysis</w:t>
      </w:r>
      <w:r w:rsidR="0087380E">
        <w:rPr>
          <w:rFonts w:eastAsia="Times New Roman" w:cs="Courier New"/>
        </w:rPr>
        <w:t>.</w:t>
      </w:r>
    </w:p>
    <w:p w:rsidR="00F77216" w:rsidRDefault="00F77216" w:rsidP="0019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FD7E3E" w:rsidRDefault="00FD7E3E" w:rsidP="0019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Table of Salaries for Selected Groups as Compared to total Salary Expenditures</w:t>
      </w:r>
    </w:p>
    <w:tbl>
      <w:tblPr>
        <w:tblStyle w:val="TableGrid"/>
        <w:tblW w:w="5000" w:type="pct"/>
        <w:tblLayout w:type="fixed"/>
        <w:tblLook w:val="04A0" w:firstRow="1" w:lastRow="0" w:firstColumn="1" w:lastColumn="0" w:noHBand="0" w:noVBand="1"/>
      </w:tblPr>
      <w:tblGrid>
        <w:gridCol w:w="1162"/>
        <w:gridCol w:w="842"/>
        <w:gridCol w:w="842"/>
        <w:gridCol w:w="842"/>
        <w:gridCol w:w="842"/>
        <w:gridCol w:w="841"/>
        <w:gridCol w:w="841"/>
        <w:gridCol w:w="841"/>
        <w:gridCol w:w="841"/>
        <w:gridCol w:w="841"/>
        <w:gridCol w:w="841"/>
      </w:tblGrid>
      <w:tr w:rsidR="00BB3F05" w:rsidRPr="00463E0F" w:rsidTr="00BB3F05">
        <w:trPr>
          <w:trHeight w:val="300"/>
        </w:trPr>
        <w:tc>
          <w:tcPr>
            <w:tcW w:w="606" w:type="pct"/>
            <w:noWrap/>
            <w:hideMark/>
          </w:tcPr>
          <w:p w:rsidR="00463E0F" w:rsidRPr="00463E0F" w:rsidRDefault="00463E0F" w:rsidP="00FD7E3E">
            <w:pPr>
              <w:rPr>
                <w:rFonts w:eastAsia="Times New Roman" w:cs="Times New Roman"/>
                <w:color w:val="000000"/>
                <w:sz w:val="18"/>
                <w:szCs w:val="18"/>
              </w:rPr>
            </w:pPr>
            <w:r w:rsidRPr="00463E0F">
              <w:rPr>
                <w:rFonts w:eastAsia="Times New Roman" w:cs="Times New Roman"/>
                <w:color w:val="000000"/>
                <w:sz w:val="18"/>
                <w:szCs w:val="18"/>
              </w:rPr>
              <w:t xml:space="preserve">Salaries as </w:t>
            </w:r>
            <w:r w:rsidR="00FD7E3E">
              <w:rPr>
                <w:rFonts w:eastAsia="Times New Roman" w:cs="Times New Roman"/>
                <w:color w:val="000000"/>
                <w:sz w:val="18"/>
                <w:szCs w:val="18"/>
              </w:rPr>
              <w:t>%</w:t>
            </w:r>
            <w:r w:rsidRPr="00463E0F">
              <w:rPr>
                <w:rFonts w:eastAsia="Times New Roman" w:cs="Times New Roman"/>
                <w:color w:val="000000"/>
                <w:sz w:val="18"/>
                <w:szCs w:val="18"/>
              </w:rPr>
              <w:t xml:space="preserve"> of total salaries</w:t>
            </w:r>
          </w:p>
        </w:tc>
        <w:tc>
          <w:tcPr>
            <w:tcW w:w="439" w:type="pct"/>
            <w:noWrap/>
            <w:hideMark/>
          </w:tcPr>
          <w:p w:rsidR="00463E0F" w:rsidRPr="00463E0F" w:rsidRDefault="00BB3F05" w:rsidP="00463E0F">
            <w:pPr>
              <w:jc w:val="right"/>
              <w:rPr>
                <w:rFonts w:eastAsia="Times New Roman" w:cs="Times New Roman"/>
                <w:color w:val="000000"/>
                <w:sz w:val="18"/>
                <w:szCs w:val="18"/>
              </w:rPr>
            </w:pPr>
            <w:r>
              <w:rPr>
                <w:rFonts w:eastAsia="Times New Roman" w:cs="Times New Roman"/>
                <w:color w:val="000000"/>
                <w:sz w:val="18"/>
                <w:szCs w:val="18"/>
              </w:rPr>
              <w:t>20</w:t>
            </w:r>
            <w:r w:rsidR="00463E0F" w:rsidRPr="00463E0F">
              <w:rPr>
                <w:rFonts w:eastAsia="Times New Roman" w:cs="Times New Roman"/>
                <w:color w:val="000000"/>
                <w:sz w:val="18"/>
                <w:szCs w:val="18"/>
              </w:rPr>
              <w:t>03</w:t>
            </w:r>
          </w:p>
        </w:tc>
        <w:tc>
          <w:tcPr>
            <w:tcW w:w="439" w:type="pct"/>
            <w:noWrap/>
            <w:hideMark/>
          </w:tcPr>
          <w:p w:rsidR="00463E0F" w:rsidRPr="00463E0F" w:rsidRDefault="00BB3F05" w:rsidP="00463E0F">
            <w:pPr>
              <w:jc w:val="right"/>
              <w:rPr>
                <w:rFonts w:eastAsia="Times New Roman" w:cs="Times New Roman"/>
                <w:color w:val="000000"/>
                <w:sz w:val="18"/>
                <w:szCs w:val="18"/>
              </w:rPr>
            </w:pPr>
            <w:r>
              <w:rPr>
                <w:rFonts w:eastAsia="Times New Roman" w:cs="Times New Roman"/>
                <w:color w:val="000000"/>
                <w:sz w:val="18"/>
                <w:szCs w:val="18"/>
              </w:rPr>
              <w:t>20</w:t>
            </w:r>
            <w:r w:rsidR="00463E0F" w:rsidRPr="00463E0F">
              <w:rPr>
                <w:rFonts w:eastAsia="Times New Roman" w:cs="Times New Roman"/>
                <w:color w:val="000000"/>
                <w:sz w:val="18"/>
                <w:szCs w:val="18"/>
              </w:rPr>
              <w:t>04</w:t>
            </w:r>
          </w:p>
        </w:tc>
        <w:tc>
          <w:tcPr>
            <w:tcW w:w="439" w:type="pct"/>
            <w:noWrap/>
            <w:hideMark/>
          </w:tcPr>
          <w:p w:rsidR="00463E0F" w:rsidRPr="00463E0F" w:rsidRDefault="00BB3F05" w:rsidP="00463E0F">
            <w:pPr>
              <w:jc w:val="right"/>
              <w:rPr>
                <w:rFonts w:eastAsia="Times New Roman" w:cs="Times New Roman"/>
                <w:color w:val="000000"/>
                <w:sz w:val="18"/>
                <w:szCs w:val="18"/>
              </w:rPr>
            </w:pPr>
            <w:r>
              <w:rPr>
                <w:rFonts w:eastAsia="Times New Roman" w:cs="Times New Roman"/>
                <w:color w:val="000000"/>
                <w:sz w:val="18"/>
                <w:szCs w:val="18"/>
              </w:rPr>
              <w:t>20</w:t>
            </w:r>
            <w:r w:rsidR="00463E0F" w:rsidRPr="00463E0F">
              <w:rPr>
                <w:rFonts w:eastAsia="Times New Roman" w:cs="Times New Roman"/>
                <w:color w:val="000000"/>
                <w:sz w:val="18"/>
                <w:szCs w:val="18"/>
              </w:rPr>
              <w:t>05</w:t>
            </w:r>
          </w:p>
        </w:tc>
        <w:tc>
          <w:tcPr>
            <w:tcW w:w="439" w:type="pct"/>
            <w:noWrap/>
            <w:hideMark/>
          </w:tcPr>
          <w:p w:rsidR="00463E0F" w:rsidRPr="00463E0F" w:rsidRDefault="00BB3F05" w:rsidP="00463E0F">
            <w:pPr>
              <w:jc w:val="right"/>
              <w:rPr>
                <w:rFonts w:eastAsia="Times New Roman" w:cs="Times New Roman"/>
                <w:color w:val="000000"/>
                <w:sz w:val="18"/>
                <w:szCs w:val="18"/>
              </w:rPr>
            </w:pPr>
            <w:r>
              <w:rPr>
                <w:rFonts w:eastAsia="Times New Roman" w:cs="Times New Roman"/>
                <w:color w:val="000000"/>
                <w:sz w:val="18"/>
                <w:szCs w:val="18"/>
              </w:rPr>
              <w:t>20</w:t>
            </w:r>
            <w:r w:rsidR="00463E0F" w:rsidRPr="00463E0F">
              <w:rPr>
                <w:rFonts w:eastAsia="Times New Roman" w:cs="Times New Roman"/>
                <w:color w:val="000000"/>
                <w:sz w:val="18"/>
                <w:szCs w:val="18"/>
              </w:rPr>
              <w:t>06</w:t>
            </w:r>
          </w:p>
        </w:tc>
        <w:tc>
          <w:tcPr>
            <w:tcW w:w="439" w:type="pct"/>
            <w:noWrap/>
            <w:hideMark/>
          </w:tcPr>
          <w:p w:rsidR="00463E0F" w:rsidRPr="00463E0F" w:rsidRDefault="00BB3F05" w:rsidP="00463E0F">
            <w:pPr>
              <w:jc w:val="right"/>
              <w:rPr>
                <w:rFonts w:eastAsia="Times New Roman" w:cs="Times New Roman"/>
                <w:color w:val="000000"/>
                <w:sz w:val="18"/>
                <w:szCs w:val="18"/>
              </w:rPr>
            </w:pPr>
            <w:r>
              <w:rPr>
                <w:rFonts w:eastAsia="Times New Roman" w:cs="Times New Roman"/>
                <w:color w:val="000000"/>
                <w:sz w:val="18"/>
                <w:szCs w:val="18"/>
              </w:rPr>
              <w:t>20</w:t>
            </w:r>
            <w:r w:rsidR="00463E0F" w:rsidRPr="00463E0F">
              <w:rPr>
                <w:rFonts w:eastAsia="Times New Roman" w:cs="Times New Roman"/>
                <w:color w:val="000000"/>
                <w:sz w:val="18"/>
                <w:szCs w:val="18"/>
              </w:rPr>
              <w:t>07</w:t>
            </w:r>
          </w:p>
        </w:tc>
        <w:tc>
          <w:tcPr>
            <w:tcW w:w="439" w:type="pct"/>
            <w:noWrap/>
            <w:hideMark/>
          </w:tcPr>
          <w:p w:rsidR="00463E0F" w:rsidRPr="00463E0F" w:rsidRDefault="00BB3F05" w:rsidP="00463E0F">
            <w:pPr>
              <w:jc w:val="right"/>
              <w:rPr>
                <w:rFonts w:eastAsia="Times New Roman" w:cs="Times New Roman"/>
                <w:color w:val="000000"/>
                <w:sz w:val="18"/>
                <w:szCs w:val="18"/>
              </w:rPr>
            </w:pPr>
            <w:r>
              <w:rPr>
                <w:rFonts w:eastAsia="Times New Roman" w:cs="Times New Roman"/>
                <w:color w:val="000000"/>
                <w:sz w:val="18"/>
                <w:szCs w:val="18"/>
              </w:rPr>
              <w:t>20</w:t>
            </w:r>
            <w:r w:rsidR="00463E0F" w:rsidRPr="00463E0F">
              <w:rPr>
                <w:rFonts w:eastAsia="Times New Roman" w:cs="Times New Roman"/>
                <w:color w:val="000000"/>
                <w:sz w:val="18"/>
                <w:szCs w:val="18"/>
              </w:rPr>
              <w:t>08</w:t>
            </w:r>
          </w:p>
        </w:tc>
        <w:tc>
          <w:tcPr>
            <w:tcW w:w="439" w:type="pct"/>
            <w:noWrap/>
            <w:hideMark/>
          </w:tcPr>
          <w:p w:rsidR="00463E0F" w:rsidRPr="00463E0F" w:rsidRDefault="00BB3F05" w:rsidP="00463E0F">
            <w:pPr>
              <w:jc w:val="right"/>
              <w:rPr>
                <w:rFonts w:eastAsia="Times New Roman" w:cs="Times New Roman"/>
                <w:color w:val="000000"/>
                <w:sz w:val="18"/>
                <w:szCs w:val="18"/>
              </w:rPr>
            </w:pPr>
            <w:r>
              <w:rPr>
                <w:rFonts w:eastAsia="Times New Roman" w:cs="Times New Roman"/>
                <w:color w:val="000000"/>
                <w:sz w:val="18"/>
                <w:szCs w:val="18"/>
              </w:rPr>
              <w:t>20</w:t>
            </w:r>
            <w:r w:rsidR="00463E0F" w:rsidRPr="00463E0F">
              <w:rPr>
                <w:rFonts w:eastAsia="Times New Roman" w:cs="Times New Roman"/>
                <w:color w:val="000000"/>
                <w:sz w:val="18"/>
                <w:szCs w:val="18"/>
              </w:rPr>
              <w:t>09</w:t>
            </w:r>
          </w:p>
        </w:tc>
        <w:tc>
          <w:tcPr>
            <w:tcW w:w="439" w:type="pct"/>
            <w:noWrap/>
            <w:hideMark/>
          </w:tcPr>
          <w:p w:rsidR="00463E0F" w:rsidRPr="00463E0F" w:rsidRDefault="00BB3F05" w:rsidP="00463E0F">
            <w:pPr>
              <w:jc w:val="right"/>
              <w:rPr>
                <w:rFonts w:eastAsia="Times New Roman" w:cs="Times New Roman"/>
                <w:color w:val="000000"/>
                <w:sz w:val="18"/>
                <w:szCs w:val="18"/>
              </w:rPr>
            </w:pPr>
            <w:r>
              <w:rPr>
                <w:rFonts w:eastAsia="Times New Roman" w:cs="Times New Roman"/>
                <w:color w:val="000000"/>
                <w:sz w:val="18"/>
                <w:szCs w:val="18"/>
              </w:rPr>
              <w:t>20</w:t>
            </w:r>
            <w:r w:rsidR="00463E0F" w:rsidRPr="00463E0F">
              <w:rPr>
                <w:rFonts w:eastAsia="Times New Roman" w:cs="Times New Roman"/>
                <w:color w:val="000000"/>
                <w:sz w:val="18"/>
                <w:szCs w:val="18"/>
              </w:rPr>
              <w:t>10</w:t>
            </w:r>
          </w:p>
        </w:tc>
        <w:tc>
          <w:tcPr>
            <w:tcW w:w="439" w:type="pct"/>
            <w:noWrap/>
            <w:hideMark/>
          </w:tcPr>
          <w:p w:rsidR="00463E0F" w:rsidRPr="00463E0F" w:rsidRDefault="00BB3F05" w:rsidP="00463E0F">
            <w:pPr>
              <w:jc w:val="right"/>
              <w:rPr>
                <w:rFonts w:eastAsia="Times New Roman" w:cs="Times New Roman"/>
                <w:color w:val="000000"/>
                <w:sz w:val="18"/>
                <w:szCs w:val="18"/>
              </w:rPr>
            </w:pPr>
            <w:r>
              <w:rPr>
                <w:rFonts w:eastAsia="Times New Roman" w:cs="Times New Roman"/>
                <w:color w:val="000000"/>
                <w:sz w:val="18"/>
                <w:szCs w:val="18"/>
              </w:rPr>
              <w:t>20</w:t>
            </w:r>
            <w:r w:rsidR="00463E0F" w:rsidRPr="00463E0F">
              <w:rPr>
                <w:rFonts w:eastAsia="Times New Roman" w:cs="Times New Roman"/>
                <w:color w:val="000000"/>
                <w:sz w:val="18"/>
                <w:szCs w:val="18"/>
              </w:rPr>
              <w:t>11</w:t>
            </w:r>
          </w:p>
        </w:tc>
        <w:tc>
          <w:tcPr>
            <w:tcW w:w="439" w:type="pct"/>
            <w:noWrap/>
            <w:hideMark/>
          </w:tcPr>
          <w:p w:rsidR="00463E0F" w:rsidRPr="00463E0F" w:rsidRDefault="00BB3F05" w:rsidP="00463E0F">
            <w:pPr>
              <w:jc w:val="right"/>
              <w:rPr>
                <w:rFonts w:eastAsia="Times New Roman" w:cs="Times New Roman"/>
                <w:color w:val="000000"/>
                <w:sz w:val="18"/>
                <w:szCs w:val="18"/>
              </w:rPr>
            </w:pPr>
            <w:r>
              <w:rPr>
                <w:rFonts w:eastAsia="Times New Roman" w:cs="Times New Roman"/>
                <w:color w:val="000000"/>
                <w:sz w:val="18"/>
                <w:szCs w:val="18"/>
              </w:rPr>
              <w:t>20</w:t>
            </w:r>
            <w:r w:rsidR="00463E0F" w:rsidRPr="00463E0F">
              <w:rPr>
                <w:rFonts w:eastAsia="Times New Roman" w:cs="Times New Roman"/>
                <w:color w:val="000000"/>
                <w:sz w:val="18"/>
                <w:szCs w:val="18"/>
              </w:rPr>
              <w:t>12</w:t>
            </w:r>
          </w:p>
        </w:tc>
      </w:tr>
      <w:tr w:rsidR="00BB3F05" w:rsidRPr="00463E0F" w:rsidTr="00BB3F05">
        <w:trPr>
          <w:trHeight w:val="300"/>
        </w:trPr>
        <w:tc>
          <w:tcPr>
            <w:tcW w:w="606" w:type="pct"/>
            <w:noWrap/>
            <w:hideMark/>
          </w:tcPr>
          <w:p w:rsidR="00463E0F" w:rsidRPr="00463E0F" w:rsidRDefault="00463E0F" w:rsidP="00463E0F">
            <w:pPr>
              <w:rPr>
                <w:rFonts w:eastAsia="Times New Roman" w:cs="Times New Roman"/>
                <w:color w:val="000000"/>
                <w:sz w:val="18"/>
                <w:szCs w:val="18"/>
              </w:rPr>
            </w:pPr>
            <w:r w:rsidRPr="00463E0F">
              <w:rPr>
                <w:rFonts w:eastAsia="Times New Roman" w:cs="Times New Roman"/>
                <w:color w:val="000000"/>
                <w:sz w:val="18"/>
                <w:szCs w:val="18"/>
              </w:rPr>
              <w:t>Faculty (from instruction category)</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39.43%</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39.99%</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39.33%</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39.85%</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39.43%</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38.77%</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37.82%</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36.24%</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37.86%</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37.79%</w:t>
            </w:r>
          </w:p>
        </w:tc>
      </w:tr>
      <w:tr w:rsidR="00BB3F05" w:rsidRPr="00463E0F" w:rsidTr="00BB3F05">
        <w:trPr>
          <w:trHeight w:val="300"/>
        </w:trPr>
        <w:tc>
          <w:tcPr>
            <w:tcW w:w="606" w:type="pct"/>
            <w:noWrap/>
            <w:hideMark/>
          </w:tcPr>
          <w:p w:rsidR="00463E0F" w:rsidRPr="00463E0F" w:rsidRDefault="00463E0F" w:rsidP="00463E0F">
            <w:pPr>
              <w:rPr>
                <w:rFonts w:eastAsia="Times New Roman" w:cs="Times New Roman"/>
                <w:color w:val="000000"/>
                <w:sz w:val="18"/>
                <w:szCs w:val="18"/>
              </w:rPr>
            </w:pPr>
            <w:r w:rsidRPr="00463E0F">
              <w:rPr>
                <w:rFonts w:eastAsia="Times New Roman" w:cs="Times New Roman"/>
                <w:color w:val="000000"/>
                <w:sz w:val="18"/>
                <w:szCs w:val="18"/>
              </w:rPr>
              <w:t xml:space="preserve">Institutional support </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11.41%</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11.68%</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11.89%</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12.39%</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12.49%</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12.47%</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12.48%</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13.54%</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11.08%</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11.96%</w:t>
            </w:r>
          </w:p>
        </w:tc>
      </w:tr>
      <w:tr w:rsidR="00BB3F05" w:rsidRPr="00463E0F" w:rsidTr="00BB3F05">
        <w:trPr>
          <w:trHeight w:val="300"/>
        </w:trPr>
        <w:tc>
          <w:tcPr>
            <w:tcW w:w="606" w:type="pct"/>
            <w:noWrap/>
            <w:hideMark/>
          </w:tcPr>
          <w:p w:rsidR="00463E0F" w:rsidRPr="00463E0F" w:rsidRDefault="00463E0F" w:rsidP="00463E0F">
            <w:pPr>
              <w:rPr>
                <w:rFonts w:eastAsia="Times New Roman" w:cs="Times New Roman"/>
                <w:color w:val="000000"/>
                <w:sz w:val="18"/>
                <w:szCs w:val="18"/>
              </w:rPr>
            </w:pPr>
            <w:r w:rsidRPr="00463E0F">
              <w:rPr>
                <w:rFonts w:eastAsia="Times New Roman" w:cs="Times New Roman"/>
                <w:color w:val="000000"/>
                <w:sz w:val="18"/>
                <w:szCs w:val="18"/>
              </w:rPr>
              <w:t xml:space="preserve">Auxiliary enterprises </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13.61%</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13.87%</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14.10%</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14.60%</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14.87%</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14.91%</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14.70%</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15.16%</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15.37%</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15.50%</w:t>
            </w:r>
          </w:p>
        </w:tc>
      </w:tr>
      <w:tr w:rsidR="00BB3F05" w:rsidRPr="00463E0F" w:rsidTr="00BB3F05">
        <w:trPr>
          <w:trHeight w:val="300"/>
        </w:trPr>
        <w:tc>
          <w:tcPr>
            <w:tcW w:w="606" w:type="pct"/>
            <w:noWrap/>
            <w:hideMark/>
          </w:tcPr>
          <w:p w:rsidR="00463E0F" w:rsidRPr="00463E0F" w:rsidRDefault="00463E0F" w:rsidP="00463E0F">
            <w:pPr>
              <w:rPr>
                <w:rFonts w:eastAsia="Times New Roman" w:cs="Times New Roman"/>
                <w:color w:val="000000"/>
                <w:sz w:val="18"/>
                <w:szCs w:val="18"/>
              </w:rPr>
            </w:pPr>
            <w:r w:rsidRPr="00463E0F">
              <w:rPr>
                <w:rFonts w:eastAsia="Times New Roman" w:cs="Times New Roman"/>
                <w:color w:val="000000"/>
                <w:sz w:val="18"/>
                <w:szCs w:val="18"/>
              </w:rPr>
              <w:t xml:space="preserve">Athletic salaries </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2.17%</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2.35%</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2.42%</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2.40%</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2.55%</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2.49%</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2.65%</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2.86%</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2.91%</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2.88%</w:t>
            </w:r>
          </w:p>
        </w:tc>
      </w:tr>
      <w:tr w:rsidR="00BB3F05" w:rsidRPr="00463E0F" w:rsidTr="00BB3F05">
        <w:trPr>
          <w:trHeight w:val="300"/>
        </w:trPr>
        <w:tc>
          <w:tcPr>
            <w:tcW w:w="606" w:type="pct"/>
            <w:noWrap/>
            <w:hideMark/>
          </w:tcPr>
          <w:p w:rsidR="00463E0F" w:rsidRPr="00463E0F" w:rsidRDefault="00463E0F" w:rsidP="00463E0F">
            <w:pPr>
              <w:rPr>
                <w:rFonts w:eastAsia="Times New Roman" w:cs="Times New Roman"/>
                <w:color w:val="000000"/>
                <w:sz w:val="18"/>
                <w:szCs w:val="18"/>
              </w:rPr>
            </w:pPr>
          </w:p>
        </w:tc>
        <w:tc>
          <w:tcPr>
            <w:tcW w:w="439" w:type="pct"/>
            <w:noWrap/>
            <w:hideMark/>
          </w:tcPr>
          <w:p w:rsidR="00463E0F" w:rsidRPr="00463E0F" w:rsidRDefault="00463E0F" w:rsidP="00463E0F">
            <w:pPr>
              <w:rPr>
                <w:rFonts w:eastAsia="Times New Roman" w:cs="Times New Roman"/>
                <w:color w:val="000000"/>
                <w:sz w:val="18"/>
                <w:szCs w:val="18"/>
              </w:rPr>
            </w:pPr>
          </w:p>
        </w:tc>
        <w:tc>
          <w:tcPr>
            <w:tcW w:w="439" w:type="pct"/>
            <w:noWrap/>
            <w:hideMark/>
          </w:tcPr>
          <w:p w:rsidR="00463E0F" w:rsidRPr="00463E0F" w:rsidRDefault="00463E0F" w:rsidP="00463E0F">
            <w:pPr>
              <w:rPr>
                <w:rFonts w:eastAsia="Times New Roman" w:cs="Times New Roman"/>
                <w:color w:val="000000"/>
                <w:sz w:val="18"/>
                <w:szCs w:val="18"/>
              </w:rPr>
            </w:pPr>
          </w:p>
        </w:tc>
        <w:tc>
          <w:tcPr>
            <w:tcW w:w="439" w:type="pct"/>
            <w:noWrap/>
            <w:hideMark/>
          </w:tcPr>
          <w:p w:rsidR="00463E0F" w:rsidRPr="00463E0F" w:rsidRDefault="00463E0F" w:rsidP="00463E0F">
            <w:pPr>
              <w:rPr>
                <w:rFonts w:eastAsia="Times New Roman" w:cs="Times New Roman"/>
                <w:color w:val="000000"/>
                <w:sz w:val="18"/>
                <w:szCs w:val="18"/>
              </w:rPr>
            </w:pPr>
          </w:p>
        </w:tc>
        <w:tc>
          <w:tcPr>
            <w:tcW w:w="439" w:type="pct"/>
            <w:noWrap/>
            <w:hideMark/>
          </w:tcPr>
          <w:p w:rsidR="00463E0F" w:rsidRPr="00463E0F" w:rsidRDefault="00463E0F" w:rsidP="00463E0F">
            <w:pPr>
              <w:rPr>
                <w:rFonts w:eastAsia="Times New Roman" w:cs="Times New Roman"/>
                <w:color w:val="000000"/>
                <w:sz w:val="18"/>
                <w:szCs w:val="18"/>
              </w:rPr>
            </w:pPr>
          </w:p>
        </w:tc>
        <w:tc>
          <w:tcPr>
            <w:tcW w:w="439" w:type="pct"/>
            <w:noWrap/>
            <w:hideMark/>
          </w:tcPr>
          <w:p w:rsidR="00463E0F" w:rsidRPr="00463E0F" w:rsidRDefault="00463E0F" w:rsidP="00463E0F">
            <w:pPr>
              <w:rPr>
                <w:rFonts w:eastAsia="Times New Roman" w:cs="Times New Roman"/>
                <w:color w:val="000000"/>
                <w:sz w:val="18"/>
                <w:szCs w:val="18"/>
              </w:rPr>
            </w:pPr>
          </w:p>
        </w:tc>
        <w:tc>
          <w:tcPr>
            <w:tcW w:w="439" w:type="pct"/>
            <w:noWrap/>
            <w:hideMark/>
          </w:tcPr>
          <w:p w:rsidR="00463E0F" w:rsidRPr="00463E0F" w:rsidRDefault="00463E0F" w:rsidP="00463E0F">
            <w:pPr>
              <w:rPr>
                <w:rFonts w:eastAsia="Times New Roman" w:cs="Times New Roman"/>
                <w:color w:val="000000"/>
                <w:sz w:val="18"/>
                <w:szCs w:val="18"/>
              </w:rPr>
            </w:pPr>
          </w:p>
        </w:tc>
        <w:tc>
          <w:tcPr>
            <w:tcW w:w="439" w:type="pct"/>
            <w:noWrap/>
            <w:hideMark/>
          </w:tcPr>
          <w:p w:rsidR="00463E0F" w:rsidRPr="00463E0F" w:rsidRDefault="00463E0F" w:rsidP="00463E0F">
            <w:pPr>
              <w:rPr>
                <w:rFonts w:eastAsia="Times New Roman" w:cs="Times New Roman"/>
                <w:color w:val="000000"/>
                <w:sz w:val="18"/>
                <w:szCs w:val="18"/>
              </w:rPr>
            </w:pPr>
          </w:p>
        </w:tc>
        <w:tc>
          <w:tcPr>
            <w:tcW w:w="439" w:type="pct"/>
            <w:noWrap/>
            <w:hideMark/>
          </w:tcPr>
          <w:p w:rsidR="00463E0F" w:rsidRPr="00463E0F" w:rsidRDefault="00463E0F" w:rsidP="00463E0F">
            <w:pPr>
              <w:rPr>
                <w:rFonts w:eastAsia="Times New Roman" w:cs="Times New Roman"/>
                <w:color w:val="000000"/>
                <w:sz w:val="18"/>
                <w:szCs w:val="18"/>
              </w:rPr>
            </w:pPr>
          </w:p>
        </w:tc>
        <w:tc>
          <w:tcPr>
            <w:tcW w:w="439" w:type="pct"/>
            <w:noWrap/>
            <w:hideMark/>
          </w:tcPr>
          <w:p w:rsidR="00463E0F" w:rsidRPr="00463E0F" w:rsidRDefault="00463E0F" w:rsidP="00463E0F">
            <w:pPr>
              <w:rPr>
                <w:rFonts w:eastAsia="Times New Roman" w:cs="Times New Roman"/>
                <w:color w:val="000000"/>
                <w:sz w:val="18"/>
                <w:szCs w:val="18"/>
              </w:rPr>
            </w:pPr>
          </w:p>
        </w:tc>
        <w:tc>
          <w:tcPr>
            <w:tcW w:w="439" w:type="pct"/>
            <w:noWrap/>
            <w:hideMark/>
          </w:tcPr>
          <w:p w:rsidR="00463E0F" w:rsidRPr="00463E0F" w:rsidRDefault="00463E0F" w:rsidP="00463E0F">
            <w:pPr>
              <w:rPr>
                <w:rFonts w:eastAsia="Times New Roman" w:cs="Times New Roman"/>
                <w:color w:val="000000"/>
                <w:sz w:val="18"/>
                <w:szCs w:val="18"/>
              </w:rPr>
            </w:pPr>
          </w:p>
        </w:tc>
      </w:tr>
      <w:tr w:rsidR="00BB3F05" w:rsidRPr="00463E0F" w:rsidTr="00BB3F05">
        <w:trPr>
          <w:trHeight w:val="300"/>
        </w:trPr>
        <w:tc>
          <w:tcPr>
            <w:tcW w:w="606" w:type="pct"/>
            <w:noWrap/>
            <w:hideMark/>
          </w:tcPr>
          <w:p w:rsidR="00463E0F" w:rsidRPr="00463E0F" w:rsidRDefault="00463E0F" w:rsidP="00463E0F">
            <w:pPr>
              <w:rPr>
                <w:rFonts w:eastAsia="Times New Roman" w:cs="Times New Roman"/>
                <w:color w:val="000000"/>
                <w:sz w:val="18"/>
                <w:szCs w:val="18"/>
              </w:rPr>
            </w:pPr>
            <w:r w:rsidRPr="00463E0F">
              <w:rPr>
                <w:rFonts w:eastAsia="Times New Roman" w:cs="Times New Roman"/>
                <w:color w:val="000000"/>
                <w:sz w:val="18"/>
                <w:szCs w:val="18"/>
              </w:rPr>
              <w:t>Change since 2003</w:t>
            </w:r>
          </w:p>
        </w:tc>
        <w:tc>
          <w:tcPr>
            <w:tcW w:w="439" w:type="pct"/>
            <w:noWrap/>
            <w:hideMark/>
          </w:tcPr>
          <w:p w:rsidR="00463E0F" w:rsidRPr="00463E0F" w:rsidRDefault="00463E0F" w:rsidP="00463E0F">
            <w:pPr>
              <w:rPr>
                <w:rFonts w:eastAsia="Times New Roman" w:cs="Times New Roman"/>
                <w:color w:val="000000"/>
                <w:sz w:val="18"/>
                <w:szCs w:val="18"/>
              </w:rPr>
            </w:pPr>
          </w:p>
        </w:tc>
        <w:tc>
          <w:tcPr>
            <w:tcW w:w="439" w:type="pct"/>
            <w:noWrap/>
            <w:hideMark/>
          </w:tcPr>
          <w:p w:rsidR="00463E0F" w:rsidRPr="00463E0F" w:rsidRDefault="00463E0F" w:rsidP="00463E0F">
            <w:pPr>
              <w:rPr>
                <w:rFonts w:eastAsia="Times New Roman" w:cs="Times New Roman"/>
                <w:color w:val="000000"/>
                <w:sz w:val="18"/>
                <w:szCs w:val="18"/>
              </w:rPr>
            </w:pPr>
          </w:p>
        </w:tc>
        <w:tc>
          <w:tcPr>
            <w:tcW w:w="439" w:type="pct"/>
            <w:noWrap/>
            <w:hideMark/>
          </w:tcPr>
          <w:p w:rsidR="00463E0F" w:rsidRPr="00463E0F" w:rsidRDefault="00463E0F" w:rsidP="00463E0F">
            <w:pPr>
              <w:rPr>
                <w:rFonts w:eastAsia="Times New Roman" w:cs="Times New Roman"/>
                <w:color w:val="000000"/>
                <w:sz w:val="18"/>
                <w:szCs w:val="18"/>
              </w:rPr>
            </w:pPr>
          </w:p>
        </w:tc>
        <w:tc>
          <w:tcPr>
            <w:tcW w:w="439" w:type="pct"/>
            <w:noWrap/>
            <w:hideMark/>
          </w:tcPr>
          <w:p w:rsidR="00463E0F" w:rsidRPr="00463E0F" w:rsidRDefault="00463E0F" w:rsidP="00463E0F">
            <w:pPr>
              <w:rPr>
                <w:rFonts w:eastAsia="Times New Roman" w:cs="Times New Roman"/>
                <w:color w:val="000000"/>
                <w:sz w:val="18"/>
                <w:szCs w:val="18"/>
              </w:rPr>
            </w:pPr>
          </w:p>
        </w:tc>
        <w:tc>
          <w:tcPr>
            <w:tcW w:w="439" w:type="pct"/>
            <w:noWrap/>
            <w:hideMark/>
          </w:tcPr>
          <w:p w:rsidR="00463E0F" w:rsidRPr="00463E0F" w:rsidRDefault="00463E0F" w:rsidP="00463E0F">
            <w:pPr>
              <w:rPr>
                <w:rFonts w:eastAsia="Times New Roman" w:cs="Times New Roman"/>
                <w:color w:val="000000"/>
                <w:sz w:val="18"/>
                <w:szCs w:val="18"/>
              </w:rPr>
            </w:pPr>
          </w:p>
        </w:tc>
        <w:tc>
          <w:tcPr>
            <w:tcW w:w="439" w:type="pct"/>
            <w:noWrap/>
            <w:hideMark/>
          </w:tcPr>
          <w:p w:rsidR="00463E0F" w:rsidRPr="00463E0F" w:rsidRDefault="00463E0F" w:rsidP="00463E0F">
            <w:pPr>
              <w:rPr>
                <w:rFonts w:eastAsia="Times New Roman" w:cs="Times New Roman"/>
                <w:color w:val="000000"/>
                <w:sz w:val="18"/>
                <w:szCs w:val="18"/>
              </w:rPr>
            </w:pPr>
          </w:p>
        </w:tc>
        <w:tc>
          <w:tcPr>
            <w:tcW w:w="439" w:type="pct"/>
            <w:noWrap/>
            <w:hideMark/>
          </w:tcPr>
          <w:p w:rsidR="00463E0F" w:rsidRPr="00463E0F" w:rsidRDefault="00463E0F" w:rsidP="00463E0F">
            <w:pPr>
              <w:rPr>
                <w:rFonts w:eastAsia="Times New Roman" w:cs="Times New Roman"/>
                <w:color w:val="000000"/>
                <w:sz w:val="18"/>
                <w:szCs w:val="18"/>
              </w:rPr>
            </w:pPr>
          </w:p>
        </w:tc>
        <w:tc>
          <w:tcPr>
            <w:tcW w:w="439" w:type="pct"/>
            <w:noWrap/>
            <w:hideMark/>
          </w:tcPr>
          <w:p w:rsidR="00463E0F" w:rsidRPr="00463E0F" w:rsidRDefault="00463E0F" w:rsidP="00463E0F">
            <w:pPr>
              <w:rPr>
                <w:rFonts w:eastAsia="Times New Roman" w:cs="Times New Roman"/>
                <w:color w:val="000000"/>
                <w:sz w:val="18"/>
                <w:szCs w:val="18"/>
              </w:rPr>
            </w:pPr>
          </w:p>
        </w:tc>
        <w:tc>
          <w:tcPr>
            <w:tcW w:w="439" w:type="pct"/>
            <w:noWrap/>
            <w:hideMark/>
          </w:tcPr>
          <w:p w:rsidR="00463E0F" w:rsidRPr="00463E0F" w:rsidRDefault="00463E0F" w:rsidP="00463E0F">
            <w:pPr>
              <w:rPr>
                <w:rFonts w:eastAsia="Times New Roman" w:cs="Times New Roman"/>
                <w:color w:val="000000"/>
                <w:sz w:val="18"/>
                <w:szCs w:val="18"/>
              </w:rPr>
            </w:pPr>
          </w:p>
        </w:tc>
        <w:tc>
          <w:tcPr>
            <w:tcW w:w="439" w:type="pct"/>
            <w:noWrap/>
            <w:hideMark/>
          </w:tcPr>
          <w:p w:rsidR="00463E0F" w:rsidRPr="00463E0F" w:rsidRDefault="00463E0F" w:rsidP="00463E0F">
            <w:pPr>
              <w:rPr>
                <w:rFonts w:eastAsia="Times New Roman" w:cs="Times New Roman"/>
                <w:color w:val="000000"/>
                <w:sz w:val="18"/>
                <w:szCs w:val="18"/>
              </w:rPr>
            </w:pPr>
          </w:p>
        </w:tc>
      </w:tr>
      <w:tr w:rsidR="00BB3F05" w:rsidRPr="00463E0F" w:rsidTr="00BB3F05">
        <w:trPr>
          <w:trHeight w:val="300"/>
        </w:trPr>
        <w:tc>
          <w:tcPr>
            <w:tcW w:w="606" w:type="pct"/>
            <w:noWrap/>
            <w:hideMark/>
          </w:tcPr>
          <w:p w:rsidR="00463E0F" w:rsidRPr="00463E0F" w:rsidRDefault="00463E0F" w:rsidP="00463E0F">
            <w:pPr>
              <w:rPr>
                <w:rFonts w:eastAsia="Times New Roman" w:cs="Times New Roman"/>
                <w:color w:val="000000"/>
                <w:sz w:val="18"/>
                <w:szCs w:val="18"/>
              </w:rPr>
            </w:pPr>
            <w:r w:rsidRPr="00463E0F">
              <w:rPr>
                <w:rFonts w:eastAsia="Times New Roman" w:cs="Times New Roman"/>
                <w:color w:val="000000"/>
                <w:sz w:val="18"/>
                <w:szCs w:val="18"/>
              </w:rPr>
              <w:t>Faculty (from instruction)</w:t>
            </w:r>
          </w:p>
        </w:tc>
        <w:tc>
          <w:tcPr>
            <w:tcW w:w="439" w:type="pct"/>
            <w:noWrap/>
            <w:hideMark/>
          </w:tcPr>
          <w:p w:rsidR="00463E0F" w:rsidRPr="00463E0F" w:rsidRDefault="00463E0F" w:rsidP="00463E0F">
            <w:pPr>
              <w:rPr>
                <w:rFonts w:eastAsia="Times New Roman" w:cs="Times New Roman"/>
                <w:color w:val="000000"/>
                <w:sz w:val="18"/>
                <w:szCs w:val="18"/>
              </w:rPr>
            </w:pPr>
            <w:r w:rsidRPr="00463E0F">
              <w:rPr>
                <w:rFonts w:eastAsia="Times New Roman" w:cs="Times New Roman"/>
                <w:color w:val="000000"/>
                <w:sz w:val="18"/>
                <w:szCs w:val="18"/>
              </w:rPr>
              <w:t>-</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1.42%</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-0.25%</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1.07%</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0.00%</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-1.67%</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-4.08%</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-8.09%</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-3.98%</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-4.16%</w:t>
            </w:r>
          </w:p>
        </w:tc>
      </w:tr>
      <w:tr w:rsidR="00BB3F05" w:rsidRPr="00463E0F" w:rsidTr="00BB3F05">
        <w:trPr>
          <w:trHeight w:val="300"/>
        </w:trPr>
        <w:tc>
          <w:tcPr>
            <w:tcW w:w="606" w:type="pct"/>
            <w:noWrap/>
            <w:hideMark/>
          </w:tcPr>
          <w:p w:rsidR="00463E0F" w:rsidRPr="00463E0F" w:rsidRDefault="00463E0F" w:rsidP="00463E0F">
            <w:pPr>
              <w:rPr>
                <w:rFonts w:eastAsia="Times New Roman" w:cs="Times New Roman"/>
                <w:color w:val="000000"/>
                <w:sz w:val="18"/>
                <w:szCs w:val="18"/>
              </w:rPr>
            </w:pPr>
            <w:r w:rsidRPr="00463E0F">
              <w:rPr>
                <w:rFonts w:eastAsia="Times New Roman" w:cs="Times New Roman"/>
                <w:color w:val="000000"/>
                <w:sz w:val="18"/>
                <w:szCs w:val="18"/>
              </w:rPr>
              <w:t xml:space="preserve">Institutional support </w:t>
            </w:r>
          </w:p>
        </w:tc>
        <w:tc>
          <w:tcPr>
            <w:tcW w:w="439" w:type="pct"/>
            <w:noWrap/>
            <w:hideMark/>
          </w:tcPr>
          <w:p w:rsidR="00463E0F" w:rsidRPr="00463E0F" w:rsidRDefault="00463E0F" w:rsidP="00463E0F">
            <w:pPr>
              <w:rPr>
                <w:rFonts w:eastAsia="Times New Roman" w:cs="Times New Roman"/>
                <w:color w:val="000000"/>
                <w:sz w:val="18"/>
                <w:szCs w:val="18"/>
              </w:rPr>
            </w:pPr>
            <w:r w:rsidRPr="00463E0F">
              <w:rPr>
                <w:rFonts w:eastAsia="Times New Roman" w:cs="Times New Roman"/>
                <w:color w:val="000000"/>
                <w:sz w:val="18"/>
                <w:szCs w:val="18"/>
              </w:rPr>
              <w:t>-</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2.37%</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4.21%</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8.59%</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9.47%</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9.29%</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9.38%</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18.67%</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-2.89%</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4.82%</w:t>
            </w:r>
          </w:p>
        </w:tc>
      </w:tr>
      <w:tr w:rsidR="00BB3F05" w:rsidRPr="00463E0F" w:rsidTr="00BB3F05">
        <w:trPr>
          <w:trHeight w:val="300"/>
        </w:trPr>
        <w:tc>
          <w:tcPr>
            <w:tcW w:w="606" w:type="pct"/>
            <w:noWrap/>
            <w:hideMark/>
          </w:tcPr>
          <w:p w:rsidR="00463E0F" w:rsidRPr="00463E0F" w:rsidRDefault="00463E0F" w:rsidP="00463E0F">
            <w:pPr>
              <w:rPr>
                <w:rFonts w:eastAsia="Times New Roman" w:cs="Times New Roman"/>
                <w:color w:val="000000"/>
                <w:sz w:val="18"/>
                <w:szCs w:val="18"/>
              </w:rPr>
            </w:pPr>
            <w:r w:rsidRPr="00463E0F">
              <w:rPr>
                <w:rFonts w:eastAsia="Times New Roman" w:cs="Times New Roman"/>
                <w:color w:val="000000"/>
                <w:sz w:val="18"/>
                <w:szCs w:val="18"/>
              </w:rPr>
              <w:t xml:space="preserve">Auxiliary enterprises </w:t>
            </w:r>
          </w:p>
        </w:tc>
        <w:tc>
          <w:tcPr>
            <w:tcW w:w="439" w:type="pct"/>
            <w:noWrap/>
            <w:hideMark/>
          </w:tcPr>
          <w:p w:rsidR="00463E0F" w:rsidRPr="00463E0F" w:rsidRDefault="00463E0F" w:rsidP="00463E0F">
            <w:pPr>
              <w:rPr>
                <w:rFonts w:eastAsia="Times New Roman" w:cs="Times New Roman"/>
                <w:color w:val="000000"/>
                <w:sz w:val="18"/>
                <w:szCs w:val="18"/>
              </w:rPr>
            </w:pPr>
            <w:r w:rsidRPr="00463E0F">
              <w:rPr>
                <w:rFonts w:eastAsia="Times New Roman" w:cs="Times New Roman"/>
                <w:color w:val="000000"/>
                <w:sz w:val="18"/>
                <w:szCs w:val="18"/>
              </w:rPr>
              <w:t>-</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1.91%</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3.60%</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7.27%</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9.26%</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9.55%</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8.01%</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11.39%</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12.93%</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13.89%</w:t>
            </w:r>
          </w:p>
        </w:tc>
      </w:tr>
      <w:tr w:rsidR="00BB3F05" w:rsidRPr="00463E0F" w:rsidTr="00BB3F05">
        <w:trPr>
          <w:trHeight w:val="300"/>
        </w:trPr>
        <w:tc>
          <w:tcPr>
            <w:tcW w:w="606" w:type="pct"/>
            <w:noWrap/>
            <w:hideMark/>
          </w:tcPr>
          <w:p w:rsidR="00463E0F" w:rsidRPr="00463E0F" w:rsidRDefault="00463E0F" w:rsidP="00463E0F">
            <w:pPr>
              <w:rPr>
                <w:rFonts w:eastAsia="Times New Roman" w:cs="Times New Roman"/>
                <w:color w:val="000000"/>
                <w:sz w:val="18"/>
                <w:szCs w:val="18"/>
              </w:rPr>
            </w:pPr>
            <w:r w:rsidRPr="00463E0F">
              <w:rPr>
                <w:rFonts w:eastAsia="Times New Roman" w:cs="Times New Roman"/>
                <w:color w:val="000000"/>
                <w:sz w:val="18"/>
                <w:szCs w:val="18"/>
              </w:rPr>
              <w:t xml:space="preserve">Athletic salaries </w:t>
            </w:r>
          </w:p>
        </w:tc>
        <w:tc>
          <w:tcPr>
            <w:tcW w:w="439" w:type="pct"/>
            <w:noWrap/>
            <w:hideMark/>
          </w:tcPr>
          <w:p w:rsidR="00463E0F" w:rsidRPr="00463E0F" w:rsidRDefault="00463E0F" w:rsidP="00463E0F">
            <w:pPr>
              <w:rPr>
                <w:rFonts w:eastAsia="Times New Roman" w:cs="Times New Roman"/>
                <w:color w:val="000000"/>
                <w:sz w:val="18"/>
                <w:szCs w:val="18"/>
              </w:rPr>
            </w:pPr>
            <w:r w:rsidRPr="00463E0F">
              <w:rPr>
                <w:rFonts w:eastAsia="Times New Roman" w:cs="Times New Roman"/>
                <w:color w:val="000000"/>
                <w:sz w:val="18"/>
                <w:szCs w:val="18"/>
              </w:rPr>
              <w:t>-</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8.29%</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11.52%</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10.60%</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17.51%</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14.75%</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22.12%</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31.80%</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34.10%</w:t>
            </w:r>
          </w:p>
        </w:tc>
        <w:tc>
          <w:tcPr>
            <w:tcW w:w="439" w:type="pct"/>
            <w:noWrap/>
            <w:hideMark/>
          </w:tcPr>
          <w:p w:rsidR="00463E0F" w:rsidRPr="00463E0F" w:rsidRDefault="00463E0F" w:rsidP="00463E0F">
            <w:pPr>
              <w:jc w:val="right"/>
              <w:rPr>
                <w:rFonts w:eastAsia="Times New Roman" w:cs="Times New Roman"/>
                <w:color w:val="000000"/>
                <w:sz w:val="18"/>
                <w:szCs w:val="18"/>
              </w:rPr>
            </w:pPr>
            <w:r w:rsidRPr="00463E0F">
              <w:rPr>
                <w:rFonts w:eastAsia="Times New Roman" w:cs="Times New Roman"/>
                <w:color w:val="000000"/>
                <w:sz w:val="18"/>
                <w:szCs w:val="18"/>
              </w:rPr>
              <w:t>32.72%</w:t>
            </w:r>
          </w:p>
        </w:tc>
      </w:tr>
    </w:tbl>
    <w:p w:rsidR="00463E0F" w:rsidRPr="00194849" w:rsidRDefault="00463E0F" w:rsidP="0019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BB3F05" w:rsidRDefault="00FD7E3E">
      <w:pPr>
        <w:rPr>
          <w:rFonts w:eastAsia="Times New Roman" w:cs="Courier New"/>
        </w:rPr>
      </w:pPr>
      <w:r>
        <w:rPr>
          <w:rFonts w:eastAsia="Times New Roman" w:cs="Courier New"/>
        </w:rPr>
        <w:t>The portion of the overall budget devoted to faculty salaries has dropped in the past ten years. Other areas have seen a larger budget priority, especially in auxiliaries, led by an increase in salaries within the athletics department. Not all auxiliary salaries are paid for by the general fund</w:t>
      </w:r>
      <w:r w:rsidR="005D3486">
        <w:rPr>
          <w:rFonts w:eastAsia="Times New Roman" w:cs="Courier New"/>
        </w:rPr>
        <w:t xml:space="preserve">, and athletics in particular generates significant external revenue. </w:t>
      </w:r>
      <w:r>
        <w:rPr>
          <w:rFonts w:eastAsia="Times New Roman" w:cs="Courier New"/>
        </w:rPr>
        <w:t xml:space="preserve">Note that the percentage of athletics salaries has increased overall despite dropping the baseball program in </w:t>
      </w:r>
      <w:r w:rsidR="00BB3F05">
        <w:rPr>
          <w:rFonts w:eastAsia="Times New Roman" w:cs="Courier New"/>
        </w:rPr>
        <w:t>2009.</w:t>
      </w:r>
      <w:r w:rsidR="000C61F4">
        <w:rPr>
          <w:rFonts w:eastAsia="Times New Roman" w:cs="Courier New"/>
        </w:rPr>
        <w:t xml:space="preserve"> Also the 2011 year drop in institutional support coincided with a relatively large increase in the instruction category. This merits </w:t>
      </w:r>
      <w:r w:rsidR="0087380E">
        <w:rPr>
          <w:rFonts w:eastAsia="Times New Roman" w:cs="Courier New"/>
        </w:rPr>
        <w:t xml:space="preserve">further investigation as mentioned above. </w:t>
      </w:r>
      <w:r w:rsidR="00BB3F05">
        <w:rPr>
          <w:rFonts w:eastAsia="Times New Roman" w:cs="Courier New"/>
        </w:rPr>
        <w:br w:type="page"/>
      </w:r>
    </w:p>
    <w:p w:rsidR="00C457DB" w:rsidRDefault="00C457DB" w:rsidP="00C4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rPr>
      </w:pPr>
    </w:p>
    <w:p w:rsidR="00C457DB" w:rsidRDefault="00C457DB" w:rsidP="00C4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rPr>
      </w:pPr>
    </w:p>
    <w:p w:rsidR="000301F5" w:rsidRDefault="000301F5" w:rsidP="00030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noProof/>
        </w:rPr>
      </w:pPr>
      <w:r>
        <w:rPr>
          <w:noProof/>
        </w:rPr>
        <w:drawing>
          <wp:inline distT="0" distB="0" distL="0" distR="0" wp14:anchorId="5B8B34E1" wp14:editId="06787C66">
            <wp:extent cx="4572000" cy="48101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01F5" w:rsidRDefault="000301F5" w:rsidP="00C4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C457DB" w:rsidRDefault="00C457DB" w:rsidP="00C4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Graph represents how the % of total salary dollars has changed since 2003. </w:t>
      </w:r>
      <w:r w:rsidR="000301F5">
        <w:rPr>
          <w:rFonts w:eastAsia="Times New Roman" w:cs="Courier New"/>
        </w:rPr>
        <w:t>As a percentage of total salaries at UNI, only instruction has decreased in the past ten years. Athletics salaries (as a percentage of total salaries at UNI) have increased more than 30%. The 20</w:t>
      </w:r>
      <w:r w:rsidR="00695BA1">
        <w:rPr>
          <w:rFonts w:eastAsia="Times New Roman" w:cs="Courier New"/>
        </w:rPr>
        <w:t>10-</w:t>
      </w:r>
      <w:r w:rsidR="000301F5">
        <w:rPr>
          <w:rFonts w:eastAsia="Times New Roman" w:cs="Courier New"/>
        </w:rPr>
        <w:t>11 year</w:t>
      </w:r>
      <w:r w:rsidR="00695BA1">
        <w:rPr>
          <w:rFonts w:eastAsia="Times New Roman" w:cs="Courier New"/>
        </w:rPr>
        <w:t>s</w:t>
      </w:r>
      <w:r w:rsidR="000301F5">
        <w:rPr>
          <w:rFonts w:eastAsia="Times New Roman" w:cs="Courier New"/>
        </w:rPr>
        <w:t xml:space="preserve"> ha</w:t>
      </w:r>
      <w:r w:rsidR="00695BA1">
        <w:rPr>
          <w:rFonts w:eastAsia="Times New Roman" w:cs="Courier New"/>
        </w:rPr>
        <w:t>ve</w:t>
      </w:r>
      <w:r w:rsidR="000301F5">
        <w:rPr>
          <w:rFonts w:eastAsia="Times New Roman" w:cs="Courier New"/>
        </w:rPr>
        <w:t xml:space="preserve"> anomalies with regards to instruction and institutional support (administration) as discussed above.</w:t>
      </w:r>
      <w:r w:rsidR="00472DF7">
        <w:rPr>
          <w:rFonts w:eastAsia="Times New Roman" w:cs="Courier New"/>
        </w:rPr>
        <w:t xml:space="preserve"> This comparison eliminates inflation and other considerations as it is derived from comparison to total UNI salary levels</w:t>
      </w:r>
      <w:r w:rsidR="005D3486">
        <w:rPr>
          <w:rFonts w:eastAsia="Times New Roman" w:cs="Courier New"/>
        </w:rPr>
        <w:t xml:space="preserve"> in an attempt to best analyze budgeting priorities of the institution</w:t>
      </w:r>
      <w:r w:rsidR="00472DF7">
        <w:rPr>
          <w:rFonts w:eastAsia="Times New Roman" w:cs="Courier New"/>
        </w:rPr>
        <w:t>.</w:t>
      </w:r>
    </w:p>
    <w:p w:rsidR="00C457DB" w:rsidRDefault="00C457DB"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0301F5" w:rsidRDefault="000301F5">
      <w:pPr>
        <w:rPr>
          <w:rFonts w:eastAsia="Times New Roman" w:cs="Courier New"/>
        </w:rPr>
      </w:pPr>
      <w:r>
        <w:rPr>
          <w:rFonts w:eastAsia="Times New Roman" w:cs="Courier New"/>
        </w:rPr>
        <w:br w:type="page"/>
      </w:r>
    </w:p>
    <w:p w:rsidR="00DE163F" w:rsidRDefault="00194849"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194849">
        <w:rPr>
          <w:rFonts w:eastAsia="Times New Roman" w:cs="Courier New"/>
        </w:rPr>
        <w:lastRenderedPageBreak/>
        <w:t>V</w:t>
      </w:r>
      <w:r w:rsidR="00C174C1">
        <w:rPr>
          <w:rFonts w:eastAsia="Times New Roman" w:cs="Courier New"/>
        </w:rPr>
        <w:t>. Auxiliaries</w:t>
      </w:r>
    </w:p>
    <w:p w:rsidR="00B237CD" w:rsidRDefault="00B237CD"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B237CD" w:rsidRDefault="00B237CD" w:rsidP="00B23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rPr>
      </w:pPr>
      <w:r>
        <w:rPr>
          <w:rFonts w:eastAsia="Times New Roman" w:cs="Courier New"/>
        </w:rPr>
        <w:t xml:space="preserve">Table of Expenditures to </w:t>
      </w:r>
      <w:r w:rsidR="00BB3F05">
        <w:rPr>
          <w:rFonts w:eastAsia="Times New Roman" w:cs="Courier New"/>
        </w:rPr>
        <w:t>Auxiliary</w:t>
      </w:r>
      <w:r>
        <w:rPr>
          <w:rFonts w:eastAsia="Times New Roman" w:cs="Courier New"/>
        </w:rPr>
        <w:t xml:space="preserve"> Units from General Fund</w:t>
      </w:r>
    </w:p>
    <w:tbl>
      <w:tblPr>
        <w:tblStyle w:val="TableGrid"/>
        <w:tblW w:w="10068" w:type="dxa"/>
        <w:tblLook w:val="04A0" w:firstRow="1" w:lastRow="0" w:firstColumn="1" w:lastColumn="0" w:noHBand="0" w:noVBand="1"/>
      </w:tblPr>
      <w:tblGrid>
        <w:gridCol w:w="3528"/>
        <w:gridCol w:w="1698"/>
        <w:gridCol w:w="1614"/>
        <w:gridCol w:w="1614"/>
        <w:gridCol w:w="1614"/>
      </w:tblGrid>
      <w:tr w:rsidR="00B237CD" w:rsidRPr="00B237CD" w:rsidTr="00B237CD">
        <w:trPr>
          <w:trHeight w:val="300"/>
        </w:trPr>
        <w:tc>
          <w:tcPr>
            <w:tcW w:w="3528" w:type="dxa"/>
            <w:noWrap/>
            <w:hideMark/>
          </w:tcPr>
          <w:p w:rsidR="00B237CD" w:rsidRPr="00B237CD" w:rsidRDefault="00B237CD" w:rsidP="00B237CD">
            <w:pPr>
              <w:rPr>
                <w:rFonts w:ascii="Calibri" w:eastAsia="Times New Roman" w:hAnsi="Calibri" w:cs="Times New Roman"/>
                <w:color w:val="000000"/>
              </w:rPr>
            </w:pPr>
          </w:p>
        </w:tc>
        <w:tc>
          <w:tcPr>
            <w:tcW w:w="1698" w:type="dxa"/>
            <w:noWrap/>
            <w:hideMark/>
          </w:tcPr>
          <w:p w:rsidR="00B237CD" w:rsidRPr="00B237CD" w:rsidRDefault="00B237CD" w:rsidP="00B237CD">
            <w:pPr>
              <w:rPr>
                <w:rFonts w:ascii="Calibri" w:eastAsia="Times New Roman" w:hAnsi="Calibri" w:cs="Times New Roman"/>
                <w:b/>
                <w:bCs/>
                <w:color w:val="000000"/>
              </w:rPr>
            </w:pPr>
            <w:r w:rsidRPr="00B237CD">
              <w:rPr>
                <w:rFonts w:ascii="Calibri" w:eastAsia="Times New Roman" w:hAnsi="Calibri" w:cs="Times New Roman"/>
                <w:b/>
                <w:bCs/>
                <w:color w:val="000000"/>
              </w:rPr>
              <w:t>2009-2010</w:t>
            </w:r>
          </w:p>
        </w:tc>
        <w:tc>
          <w:tcPr>
            <w:tcW w:w="1614" w:type="dxa"/>
            <w:noWrap/>
            <w:hideMark/>
          </w:tcPr>
          <w:p w:rsidR="00B237CD" w:rsidRPr="00B237CD" w:rsidRDefault="00B237CD" w:rsidP="00B237CD">
            <w:pPr>
              <w:rPr>
                <w:rFonts w:ascii="Calibri" w:eastAsia="Times New Roman" w:hAnsi="Calibri" w:cs="Times New Roman"/>
                <w:b/>
                <w:bCs/>
                <w:color w:val="000000"/>
              </w:rPr>
            </w:pPr>
            <w:r w:rsidRPr="00B237CD">
              <w:rPr>
                <w:rFonts w:ascii="Calibri" w:eastAsia="Times New Roman" w:hAnsi="Calibri" w:cs="Times New Roman"/>
                <w:b/>
                <w:bCs/>
                <w:color w:val="000000"/>
              </w:rPr>
              <w:t>2010-2011</w:t>
            </w:r>
          </w:p>
        </w:tc>
        <w:tc>
          <w:tcPr>
            <w:tcW w:w="1614" w:type="dxa"/>
            <w:noWrap/>
            <w:hideMark/>
          </w:tcPr>
          <w:p w:rsidR="00B237CD" w:rsidRPr="00B237CD" w:rsidRDefault="00B237CD" w:rsidP="00B237CD">
            <w:pPr>
              <w:rPr>
                <w:rFonts w:ascii="Calibri" w:eastAsia="Times New Roman" w:hAnsi="Calibri" w:cs="Times New Roman"/>
                <w:b/>
                <w:bCs/>
                <w:color w:val="000000"/>
              </w:rPr>
            </w:pPr>
            <w:r w:rsidRPr="00B237CD">
              <w:rPr>
                <w:rFonts w:ascii="Calibri" w:eastAsia="Times New Roman" w:hAnsi="Calibri" w:cs="Times New Roman"/>
                <w:b/>
                <w:bCs/>
                <w:color w:val="000000"/>
              </w:rPr>
              <w:t>2011-2012</w:t>
            </w:r>
          </w:p>
        </w:tc>
        <w:tc>
          <w:tcPr>
            <w:tcW w:w="1614" w:type="dxa"/>
            <w:noWrap/>
            <w:hideMark/>
          </w:tcPr>
          <w:p w:rsidR="00B237CD" w:rsidRPr="00B237CD" w:rsidRDefault="00B237CD" w:rsidP="00B237CD">
            <w:pPr>
              <w:rPr>
                <w:rFonts w:ascii="Calibri" w:eastAsia="Times New Roman" w:hAnsi="Calibri" w:cs="Times New Roman"/>
                <w:b/>
                <w:bCs/>
                <w:color w:val="000000"/>
              </w:rPr>
            </w:pPr>
            <w:r w:rsidRPr="00B237CD">
              <w:rPr>
                <w:rFonts w:ascii="Calibri" w:eastAsia="Times New Roman" w:hAnsi="Calibri" w:cs="Times New Roman"/>
                <w:b/>
                <w:bCs/>
                <w:color w:val="000000"/>
              </w:rPr>
              <w:t>2012-2013</w:t>
            </w:r>
          </w:p>
        </w:tc>
      </w:tr>
      <w:tr w:rsidR="00B237CD" w:rsidRPr="00B237CD" w:rsidTr="00B237CD">
        <w:trPr>
          <w:trHeight w:val="300"/>
        </w:trPr>
        <w:tc>
          <w:tcPr>
            <w:tcW w:w="3528"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General Educational Fund Revenue</w:t>
            </w:r>
          </w:p>
        </w:tc>
        <w:tc>
          <w:tcPr>
            <w:tcW w:w="1698" w:type="dxa"/>
            <w:noWrap/>
            <w:hideMark/>
          </w:tcPr>
          <w:p w:rsidR="00B237CD" w:rsidRPr="00B237CD" w:rsidRDefault="00B237CD" w:rsidP="00B237CD">
            <w:pPr>
              <w:rPr>
                <w:rFonts w:ascii="Calibri" w:eastAsia="Times New Roman" w:hAnsi="Calibri" w:cs="Times New Roman"/>
                <w:color w:val="000000"/>
              </w:rPr>
            </w:pPr>
            <w:r>
              <w:rPr>
                <w:rFonts w:ascii="Calibri" w:eastAsia="Times New Roman" w:hAnsi="Calibri" w:cs="Times New Roman"/>
                <w:color w:val="000000"/>
              </w:rPr>
              <w:t xml:space="preserve"> </w:t>
            </w:r>
            <w:r w:rsidRPr="00B237CD">
              <w:rPr>
                <w:rFonts w:ascii="Calibri" w:eastAsia="Times New Roman" w:hAnsi="Calibri" w:cs="Times New Roman"/>
                <w:color w:val="000000"/>
              </w:rPr>
              <w:t xml:space="preserve">172,120,593.85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161,704,799.10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161,486,788.60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167,114,885.32 </w:t>
            </w:r>
          </w:p>
        </w:tc>
      </w:tr>
      <w:tr w:rsidR="00B237CD" w:rsidRPr="00B237CD" w:rsidTr="00B237CD">
        <w:trPr>
          <w:trHeight w:val="300"/>
        </w:trPr>
        <w:tc>
          <w:tcPr>
            <w:tcW w:w="3528" w:type="dxa"/>
            <w:noWrap/>
            <w:hideMark/>
          </w:tcPr>
          <w:p w:rsidR="00B237CD" w:rsidRPr="00B237CD" w:rsidRDefault="008D73FE" w:rsidP="00B237CD">
            <w:pPr>
              <w:rPr>
                <w:rFonts w:ascii="Calibri" w:eastAsia="Times New Roman" w:hAnsi="Calibri" w:cs="Times New Roman"/>
                <w:color w:val="000000"/>
              </w:rPr>
            </w:pPr>
            <w:r w:rsidRPr="00B237CD">
              <w:rPr>
                <w:rFonts w:ascii="Calibri" w:eastAsia="Times New Roman" w:hAnsi="Calibri" w:cs="Times New Roman"/>
                <w:color w:val="000000"/>
              </w:rPr>
              <w:t>Auxiliary</w:t>
            </w:r>
            <w:r w:rsidR="00B237CD" w:rsidRPr="00B237CD">
              <w:rPr>
                <w:rFonts w:ascii="Calibri" w:eastAsia="Times New Roman" w:hAnsi="Calibri" w:cs="Times New Roman"/>
                <w:color w:val="000000"/>
              </w:rPr>
              <w:t xml:space="preserve"> Enterprises GEF Received</w:t>
            </w:r>
          </w:p>
        </w:tc>
        <w:tc>
          <w:tcPr>
            <w:tcW w:w="1698" w:type="dxa"/>
            <w:noWrap/>
            <w:hideMark/>
          </w:tcPr>
          <w:p w:rsidR="00B237CD" w:rsidRPr="00B237CD" w:rsidRDefault="00B237CD" w:rsidP="00B237CD">
            <w:pPr>
              <w:rPr>
                <w:rFonts w:ascii="Calibri" w:eastAsia="Times New Roman" w:hAnsi="Calibri" w:cs="Times New Roman"/>
                <w:color w:val="000000"/>
              </w:rPr>
            </w:pPr>
          </w:p>
        </w:tc>
        <w:tc>
          <w:tcPr>
            <w:tcW w:w="1614" w:type="dxa"/>
            <w:noWrap/>
            <w:hideMark/>
          </w:tcPr>
          <w:p w:rsidR="00B237CD" w:rsidRPr="00B237CD" w:rsidRDefault="00B237CD" w:rsidP="00B237CD">
            <w:pPr>
              <w:rPr>
                <w:rFonts w:ascii="Calibri" w:eastAsia="Times New Roman" w:hAnsi="Calibri" w:cs="Times New Roman"/>
                <w:color w:val="000000"/>
              </w:rPr>
            </w:pPr>
          </w:p>
        </w:tc>
        <w:tc>
          <w:tcPr>
            <w:tcW w:w="1614" w:type="dxa"/>
            <w:noWrap/>
            <w:hideMark/>
          </w:tcPr>
          <w:p w:rsidR="00B237CD" w:rsidRPr="00B237CD" w:rsidRDefault="00B237CD" w:rsidP="00B237CD">
            <w:pPr>
              <w:rPr>
                <w:rFonts w:ascii="Calibri" w:eastAsia="Times New Roman" w:hAnsi="Calibri" w:cs="Times New Roman"/>
                <w:color w:val="000000"/>
              </w:rPr>
            </w:pPr>
          </w:p>
        </w:tc>
        <w:tc>
          <w:tcPr>
            <w:tcW w:w="1614" w:type="dxa"/>
            <w:noWrap/>
            <w:hideMark/>
          </w:tcPr>
          <w:p w:rsidR="00B237CD" w:rsidRPr="00B237CD" w:rsidRDefault="00B237CD" w:rsidP="00B237CD">
            <w:pPr>
              <w:rPr>
                <w:rFonts w:ascii="Calibri" w:eastAsia="Times New Roman" w:hAnsi="Calibri" w:cs="Times New Roman"/>
                <w:color w:val="000000"/>
              </w:rPr>
            </w:pPr>
          </w:p>
        </w:tc>
      </w:tr>
      <w:tr w:rsidR="00B237CD" w:rsidRPr="00B237CD" w:rsidTr="00B237CD">
        <w:trPr>
          <w:trHeight w:val="300"/>
        </w:trPr>
        <w:tc>
          <w:tcPr>
            <w:tcW w:w="3528"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Residence</w:t>
            </w:r>
          </w:p>
        </w:tc>
        <w:tc>
          <w:tcPr>
            <w:tcW w:w="1698" w:type="dxa"/>
            <w:noWrap/>
          </w:tcPr>
          <w:p w:rsidR="00B237CD" w:rsidRPr="00B237CD" w:rsidRDefault="00C174C1" w:rsidP="00B237CD">
            <w:pPr>
              <w:rPr>
                <w:rFonts w:ascii="Calibri" w:eastAsia="Times New Roman" w:hAnsi="Calibri" w:cs="Times New Roman"/>
                <w:color w:val="000000"/>
              </w:rPr>
            </w:pPr>
            <w:r>
              <w:rPr>
                <w:rFonts w:ascii="Calibri" w:eastAsia="Times New Roman" w:hAnsi="Calibri" w:cs="Times New Roman"/>
                <w:color w:val="000000"/>
              </w:rPr>
              <w:t>-</w:t>
            </w:r>
          </w:p>
        </w:tc>
        <w:tc>
          <w:tcPr>
            <w:tcW w:w="1614" w:type="dxa"/>
            <w:noWrap/>
          </w:tcPr>
          <w:p w:rsidR="00B237CD" w:rsidRPr="00B237CD" w:rsidRDefault="00C174C1" w:rsidP="00B237CD">
            <w:pPr>
              <w:rPr>
                <w:rFonts w:ascii="Calibri" w:eastAsia="Times New Roman" w:hAnsi="Calibri" w:cs="Times New Roman"/>
                <w:color w:val="000000"/>
              </w:rPr>
            </w:pPr>
            <w:r>
              <w:rPr>
                <w:rFonts w:ascii="Calibri" w:eastAsia="Times New Roman" w:hAnsi="Calibri" w:cs="Times New Roman"/>
                <w:color w:val="000000"/>
              </w:rPr>
              <w:t>-</w:t>
            </w:r>
          </w:p>
        </w:tc>
        <w:tc>
          <w:tcPr>
            <w:tcW w:w="1614" w:type="dxa"/>
            <w:noWrap/>
          </w:tcPr>
          <w:p w:rsidR="00B237CD" w:rsidRPr="00B237CD" w:rsidRDefault="00C174C1" w:rsidP="00B237CD">
            <w:pPr>
              <w:rPr>
                <w:rFonts w:ascii="Calibri" w:eastAsia="Times New Roman" w:hAnsi="Calibri" w:cs="Times New Roman"/>
                <w:color w:val="000000"/>
              </w:rPr>
            </w:pPr>
            <w:r>
              <w:rPr>
                <w:rFonts w:ascii="Calibri" w:eastAsia="Times New Roman" w:hAnsi="Calibri" w:cs="Times New Roman"/>
                <w:color w:val="000000"/>
              </w:rPr>
              <w:t>-</w:t>
            </w:r>
          </w:p>
        </w:tc>
        <w:tc>
          <w:tcPr>
            <w:tcW w:w="1614" w:type="dxa"/>
            <w:noWrap/>
          </w:tcPr>
          <w:p w:rsidR="00B237CD" w:rsidRPr="00B237CD" w:rsidRDefault="00C174C1" w:rsidP="00B237CD">
            <w:pPr>
              <w:rPr>
                <w:rFonts w:ascii="Calibri" w:eastAsia="Times New Roman" w:hAnsi="Calibri" w:cs="Times New Roman"/>
                <w:color w:val="000000"/>
              </w:rPr>
            </w:pPr>
            <w:r>
              <w:rPr>
                <w:rFonts w:ascii="Calibri" w:eastAsia="Times New Roman" w:hAnsi="Calibri" w:cs="Times New Roman"/>
                <w:color w:val="000000"/>
              </w:rPr>
              <w:t>-</w:t>
            </w:r>
          </w:p>
        </w:tc>
      </w:tr>
      <w:tr w:rsidR="00B237CD" w:rsidRPr="00B237CD" w:rsidTr="00B237CD">
        <w:trPr>
          <w:trHeight w:val="300"/>
        </w:trPr>
        <w:tc>
          <w:tcPr>
            <w:tcW w:w="3528"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Athletics</w:t>
            </w:r>
          </w:p>
        </w:tc>
        <w:tc>
          <w:tcPr>
            <w:tcW w:w="1698"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4,449,174.00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4,559,447.00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4,323,026.00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4,198,513.00 </w:t>
            </w:r>
          </w:p>
        </w:tc>
      </w:tr>
      <w:tr w:rsidR="00B237CD" w:rsidRPr="00B237CD" w:rsidTr="00B237CD">
        <w:trPr>
          <w:trHeight w:val="300"/>
        </w:trPr>
        <w:tc>
          <w:tcPr>
            <w:tcW w:w="3528" w:type="dxa"/>
            <w:noWrap/>
            <w:hideMark/>
          </w:tcPr>
          <w:p w:rsidR="00B237CD" w:rsidRPr="00B237CD" w:rsidRDefault="00B237CD" w:rsidP="00B237CD">
            <w:pPr>
              <w:rPr>
                <w:rFonts w:ascii="Calibri" w:eastAsia="Times New Roman" w:hAnsi="Calibri" w:cs="Times New Roman"/>
                <w:color w:val="000000"/>
              </w:rPr>
            </w:pPr>
            <w:proofErr w:type="spellStart"/>
            <w:r w:rsidRPr="00B237CD">
              <w:rPr>
                <w:rFonts w:ascii="Calibri" w:eastAsia="Times New Roman" w:hAnsi="Calibri" w:cs="Times New Roman"/>
                <w:color w:val="000000"/>
              </w:rPr>
              <w:t>Mauker</w:t>
            </w:r>
            <w:proofErr w:type="spellEnd"/>
            <w:r w:rsidRPr="00B237CD">
              <w:rPr>
                <w:rFonts w:ascii="Calibri" w:eastAsia="Times New Roman" w:hAnsi="Calibri" w:cs="Times New Roman"/>
                <w:color w:val="000000"/>
              </w:rPr>
              <w:t xml:space="preserve"> Union</w:t>
            </w:r>
          </w:p>
        </w:tc>
        <w:tc>
          <w:tcPr>
            <w:tcW w:w="1698"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619,837.00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598,286.00 </w:t>
            </w:r>
          </w:p>
        </w:tc>
        <w:tc>
          <w:tcPr>
            <w:tcW w:w="1614" w:type="dxa"/>
            <w:noWrap/>
            <w:hideMark/>
          </w:tcPr>
          <w:p w:rsidR="00B237CD" w:rsidRPr="00B237CD" w:rsidRDefault="00C174C1" w:rsidP="00B237CD">
            <w:pPr>
              <w:rPr>
                <w:rFonts w:ascii="Calibri" w:eastAsia="Times New Roman" w:hAnsi="Calibri" w:cs="Times New Roman"/>
                <w:color w:val="000000"/>
              </w:rPr>
            </w:pPr>
            <w:r>
              <w:rPr>
                <w:rFonts w:ascii="Calibri" w:eastAsia="Times New Roman" w:hAnsi="Calibri" w:cs="Times New Roman"/>
                <w:color w:val="000000"/>
              </w:rPr>
              <w:t xml:space="preserve"> </w:t>
            </w:r>
            <w:r w:rsidR="00B237CD" w:rsidRPr="00B237CD">
              <w:rPr>
                <w:rFonts w:ascii="Calibri" w:eastAsia="Times New Roman" w:hAnsi="Calibri" w:cs="Times New Roman"/>
                <w:color w:val="000000"/>
              </w:rPr>
              <w:t xml:space="preserve">603,570.00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676,292.00 </w:t>
            </w:r>
          </w:p>
        </w:tc>
      </w:tr>
      <w:tr w:rsidR="00B237CD" w:rsidRPr="00B237CD" w:rsidTr="00C174C1">
        <w:trPr>
          <w:trHeight w:val="300"/>
        </w:trPr>
        <w:tc>
          <w:tcPr>
            <w:tcW w:w="3528"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Field House</w:t>
            </w:r>
          </w:p>
        </w:tc>
        <w:tc>
          <w:tcPr>
            <w:tcW w:w="1698"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750,464.40 </w:t>
            </w:r>
          </w:p>
        </w:tc>
        <w:tc>
          <w:tcPr>
            <w:tcW w:w="1614" w:type="dxa"/>
            <w:noWrap/>
          </w:tcPr>
          <w:p w:rsidR="00B237CD" w:rsidRPr="00B237CD" w:rsidRDefault="00D85319" w:rsidP="00B237CD">
            <w:pPr>
              <w:rPr>
                <w:rFonts w:ascii="Calibri" w:eastAsia="Times New Roman" w:hAnsi="Calibri" w:cs="Times New Roman"/>
                <w:color w:val="000000"/>
              </w:rPr>
            </w:pPr>
            <w:r>
              <w:rPr>
                <w:rFonts w:ascii="Calibri" w:eastAsia="Times New Roman" w:hAnsi="Calibri" w:cs="Times New Roman"/>
                <w:color w:val="000000"/>
              </w:rPr>
              <w:t>750,000.00</w:t>
            </w:r>
          </w:p>
        </w:tc>
        <w:tc>
          <w:tcPr>
            <w:tcW w:w="1614" w:type="dxa"/>
            <w:noWrap/>
          </w:tcPr>
          <w:p w:rsidR="00B237CD" w:rsidRPr="00B237CD" w:rsidRDefault="00D85319" w:rsidP="00B237CD">
            <w:pPr>
              <w:rPr>
                <w:rFonts w:ascii="Calibri" w:eastAsia="Times New Roman" w:hAnsi="Calibri" w:cs="Times New Roman"/>
                <w:color w:val="000000"/>
              </w:rPr>
            </w:pPr>
            <w:r>
              <w:rPr>
                <w:rFonts w:ascii="Calibri" w:eastAsia="Times New Roman" w:hAnsi="Calibri" w:cs="Times New Roman"/>
                <w:color w:val="000000"/>
              </w:rPr>
              <w:t>750,000.00</w:t>
            </w:r>
          </w:p>
        </w:tc>
        <w:tc>
          <w:tcPr>
            <w:tcW w:w="1614" w:type="dxa"/>
            <w:noWrap/>
          </w:tcPr>
          <w:p w:rsidR="00B237CD" w:rsidRPr="00B237CD" w:rsidRDefault="00D85319" w:rsidP="00B237CD">
            <w:pPr>
              <w:rPr>
                <w:rFonts w:ascii="Calibri" w:eastAsia="Times New Roman" w:hAnsi="Calibri" w:cs="Times New Roman"/>
                <w:color w:val="000000"/>
              </w:rPr>
            </w:pPr>
            <w:r>
              <w:rPr>
                <w:rFonts w:ascii="Calibri" w:eastAsia="Times New Roman" w:hAnsi="Calibri" w:cs="Times New Roman"/>
                <w:color w:val="000000"/>
              </w:rPr>
              <w:t>750,000.00</w:t>
            </w:r>
            <w:bookmarkStart w:id="0" w:name="_GoBack"/>
            <w:bookmarkEnd w:id="0"/>
          </w:p>
        </w:tc>
      </w:tr>
      <w:tr w:rsidR="00B237CD" w:rsidRPr="00B237CD" w:rsidTr="00B237CD">
        <w:trPr>
          <w:trHeight w:val="300"/>
        </w:trPr>
        <w:tc>
          <w:tcPr>
            <w:tcW w:w="3528"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GBPAC</w:t>
            </w:r>
          </w:p>
        </w:tc>
        <w:tc>
          <w:tcPr>
            <w:tcW w:w="1698"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851,328.00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848,739.00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812,802.00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828,011.00 </w:t>
            </w:r>
          </w:p>
        </w:tc>
      </w:tr>
      <w:tr w:rsidR="00B237CD" w:rsidRPr="00B237CD" w:rsidTr="00B237CD">
        <w:trPr>
          <w:trHeight w:val="300"/>
        </w:trPr>
        <w:tc>
          <w:tcPr>
            <w:tcW w:w="3528"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WRC</w:t>
            </w:r>
          </w:p>
        </w:tc>
        <w:tc>
          <w:tcPr>
            <w:tcW w:w="1698"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874,692.00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782,274.00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766,716.00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781,150.00 </w:t>
            </w:r>
          </w:p>
        </w:tc>
      </w:tr>
      <w:tr w:rsidR="00B237CD" w:rsidRPr="00B237CD" w:rsidTr="00B237CD">
        <w:trPr>
          <w:trHeight w:val="300"/>
        </w:trPr>
        <w:tc>
          <w:tcPr>
            <w:tcW w:w="3528"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Student Health System</w:t>
            </w:r>
          </w:p>
        </w:tc>
        <w:tc>
          <w:tcPr>
            <w:tcW w:w="1698"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420,411.00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188,213.00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197,469.00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200,554.00 </w:t>
            </w:r>
          </w:p>
        </w:tc>
      </w:tr>
      <w:tr w:rsidR="00B237CD" w:rsidRPr="00B237CD" w:rsidTr="00C174C1">
        <w:trPr>
          <w:trHeight w:val="300"/>
        </w:trPr>
        <w:tc>
          <w:tcPr>
            <w:tcW w:w="3528"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Miscellaneous</w:t>
            </w:r>
          </w:p>
        </w:tc>
        <w:tc>
          <w:tcPr>
            <w:tcW w:w="1698" w:type="dxa"/>
            <w:noWrap/>
          </w:tcPr>
          <w:p w:rsidR="00B237CD" w:rsidRPr="00B237CD" w:rsidRDefault="00C174C1" w:rsidP="00B237CD">
            <w:pPr>
              <w:rPr>
                <w:rFonts w:ascii="Calibri" w:eastAsia="Times New Roman" w:hAnsi="Calibri" w:cs="Times New Roman"/>
                <w:color w:val="000000"/>
              </w:rPr>
            </w:pPr>
            <w:r>
              <w:rPr>
                <w:rFonts w:ascii="Calibri" w:eastAsia="Times New Roman" w:hAnsi="Calibri" w:cs="Times New Roman"/>
                <w:color w:val="000000"/>
              </w:rPr>
              <w:t>-</w:t>
            </w:r>
          </w:p>
        </w:tc>
        <w:tc>
          <w:tcPr>
            <w:tcW w:w="1614" w:type="dxa"/>
            <w:noWrap/>
          </w:tcPr>
          <w:p w:rsidR="00B237CD" w:rsidRPr="00B237CD" w:rsidRDefault="00C174C1" w:rsidP="00B237CD">
            <w:pPr>
              <w:rPr>
                <w:rFonts w:ascii="Calibri" w:eastAsia="Times New Roman" w:hAnsi="Calibri" w:cs="Times New Roman"/>
                <w:color w:val="000000"/>
              </w:rPr>
            </w:pPr>
            <w:r>
              <w:rPr>
                <w:rFonts w:ascii="Calibri" w:eastAsia="Times New Roman" w:hAnsi="Calibri" w:cs="Times New Roman"/>
                <w:color w:val="000000"/>
              </w:rPr>
              <w:t>-</w:t>
            </w:r>
          </w:p>
        </w:tc>
        <w:tc>
          <w:tcPr>
            <w:tcW w:w="1614" w:type="dxa"/>
            <w:noWrap/>
          </w:tcPr>
          <w:p w:rsidR="00B237CD" w:rsidRPr="00B237CD" w:rsidRDefault="00C174C1" w:rsidP="00B237CD">
            <w:pPr>
              <w:rPr>
                <w:rFonts w:ascii="Calibri" w:eastAsia="Times New Roman" w:hAnsi="Calibri" w:cs="Times New Roman"/>
                <w:color w:val="000000"/>
              </w:rPr>
            </w:pPr>
            <w:r>
              <w:rPr>
                <w:rFonts w:ascii="Calibri" w:eastAsia="Times New Roman" w:hAnsi="Calibri" w:cs="Times New Roman"/>
                <w:color w:val="000000"/>
              </w:rPr>
              <w:t>-</w:t>
            </w:r>
          </w:p>
        </w:tc>
        <w:tc>
          <w:tcPr>
            <w:tcW w:w="1614" w:type="dxa"/>
            <w:noWrap/>
          </w:tcPr>
          <w:p w:rsidR="00B237CD" w:rsidRPr="00B237CD" w:rsidRDefault="00C174C1" w:rsidP="00B237CD">
            <w:pPr>
              <w:rPr>
                <w:rFonts w:ascii="Calibri" w:eastAsia="Times New Roman" w:hAnsi="Calibri" w:cs="Times New Roman"/>
                <w:color w:val="000000"/>
              </w:rPr>
            </w:pPr>
            <w:r>
              <w:rPr>
                <w:rFonts w:ascii="Calibri" w:eastAsia="Times New Roman" w:hAnsi="Calibri" w:cs="Times New Roman"/>
                <w:color w:val="000000"/>
              </w:rPr>
              <w:t>-</w:t>
            </w:r>
          </w:p>
        </w:tc>
      </w:tr>
      <w:tr w:rsidR="00B237CD" w:rsidRPr="00B237CD" w:rsidTr="00B237CD">
        <w:trPr>
          <w:trHeight w:val="300"/>
        </w:trPr>
        <w:tc>
          <w:tcPr>
            <w:tcW w:w="3528"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Total </w:t>
            </w:r>
            <w:r w:rsidR="00BB3F05" w:rsidRPr="00B237CD">
              <w:rPr>
                <w:rFonts w:ascii="Calibri" w:eastAsia="Times New Roman" w:hAnsi="Calibri" w:cs="Times New Roman"/>
                <w:color w:val="000000"/>
              </w:rPr>
              <w:t>Auxiliary</w:t>
            </w:r>
            <w:r w:rsidRPr="00B237CD">
              <w:rPr>
                <w:rFonts w:ascii="Calibri" w:eastAsia="Times New Roman" w:hAnsi="Calibri" w:cs="Times New Roman"/>
                <w:color w:val="000000"/>
              </w:rPr>
              <w:t xml:space="preserve"> Enterprises</w:t>
            </w:r>
            <w:r w:rsidR="00737F3F">
              <w:rPr>
                <w:rFonts w:ascii="Calibri" w:eastAsia="Times New Roman" w:hAnsi="Calibri" w:cs="Times New Roman"/>
                <w:color w:val="000000"/>
              </w:rPr>
              <w:t xml:space="preserve"> – Field house</w:t>
            </w:r>
          </w:p>
        </w:tc>
        <w:tc>
          <w:tcPr>
            <w:tcW w:w="1698" w:type="dxa"/>
            <w:noWrap/>
            <w:hideMark/>
          </w:tcPr>
          <w:p w:rsidR="00B237CD" w:rsidRPr="00B237CD" w:rsidRDefault="00B237CD" w:rsidP="00737F3F">
            <w:pPr>
              <w:rPr>
                <w:rFonts w:ascii="Calibri" w:eastAsia="Times New Roman" w:hAnsi="Calibri" w:cs="Times New Roman"/>
                <w:color w:val="000000"/>
              </w:rPr>
            </w:pPr>
            <w:r w:rsidRPr="00B237CD">
              <w:rPr>
                <w:rFonts w:ascii="Calibri" w:eastAsia="Times New Roman" w:hAnsi="Calibri" w:cs="Times New Roman"/>
                <w:color w:val="000000"/>
              </w:rPr>
              <w:t>7,</w:t>
            </w:r>
            <w:r w:rsidR="00737F3F">
              <w:rPr>
                <w:rFonts w:ascii="Calibri" w:eastAsia="Times New Roman" w:hAnsi="Calibri" w:cs="Times New Roman"/>
                <w:color w:val="000000"/>
              </w:rPr>
              <w:t>215,442.00</w:t>
            </w:r>
            <w:r w:rsidRPr="00B237CD">
              <w:rPr>
                <w:rFonts w:ascii="Calibri" w:eastAsia="Times New Roman" w:hAnsi="Calibri" w:cs="Times New Roman"/>
                <w:color w:val="000000"/>
              </w:rPr>
              <w:t xml:space="preserve">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6,976,959.00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6,703,583.00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6,684,520.00 </w:t>
            </w:r>
          </w:p>
        </w:tc>
      </w:tr>
      <w:tr w:rsidR="00B237CD" w:rsidRPr="00B237CD" w:rsidTr="00B237CD">
        <w:trPr>
          <w:trHeight w:val="300"/>
        </w:trPr>
        <w:tc>
          <w:tcPr>
            <w:tcW w:w="3528" w:type="dxa"/>
            <w:noWrap/>
            <w:hideMark/>
          </w:tcPr>
          <w:p w:rsidR="00B237CD" w:rsidRPr="00B237CD" w:rsidRDefault="00B237CD" w:rsidP="00B237CD">
            <w:pPr>
              <w:rPr>
                <w:rFonts w:ascii="Calibri" w:eastAsia="Times New Roman" w:hAnsi="Calibri" w:cs="Times New Roman"/>
                <w:color w:val="000000"/>
              </w:rPr>
            </w:pPr>
          </w:p>
        </w:tc>
        <w:tc>
          <w:tcPr>
            <w:tcW w:w="1698" w:type="dxa"/>
            <w:noWrap/>
            <w:hideMark/>
          </w:tcPr>
          <w:p w:rsidR="00B237CD" w:rsidRPr="00B237CD" w:rsidRDefault="00B237CD" w:rsidP="00B237CD">
            <w:pPr>
              <w:rPr>
                <w:rFonts w:ascii="Calibri" w:eastAsia="Times New Roman" w:hAnsi="Calibri" w:cs="Times New Roman"/>
                <w:color w:val="000000"/>
              </w:rPr>
            </w:pPr>
          </w:p>
        </w:tc>
        <w:tc>
          <w:tcPr>
            <w:tcW w:w="1614" w:type="dxa"/>
            <w:noWrap/>
            <w:hideMark/>
          </w:tcPr>
          <w:p w:rsidR="00B237CD" w:rsidRPr="00B237CD" w:rsidRDefault="00B237CD" w:rsidP="00B237CD">
            <w:pPr>
              <w:rPr>
                <w:rFonts w:ascii="Calibri" w:eastAsia="Times New Roman" w:hAnsi="Calibri" w:cs="Times New Roman"/>
                <w:color w:val="000000"/>
              </w:rPr>
            </w:pPr>
          </w:p>
        </w:tc>
        <w:tc>
          <w:tcPr>
            <w:tcW w:w="1614" w:type="dxa"/>
            <w:noWrap/>
            <w:hideMark/>
          </w:tcPr>
          <w:p w:rsidR="00B237CD" w:rsidRPr="00B237CD" w:rsidRDefault="00B237CD" w:rsidP="00B237CD">
            <w:pPr>
              <w:rPr>
                <w:rFonts w:ascii="Calibri" w:eastAsia="Times New Roman" w:hAnsi="Calibri" w:cs="Times New Roman"/>
                <w:color w:val="000000"/>
              </w:rPr>
            </w:pPr>
          </w:p>
        </w:tc>
        <w:tc>
          <w:tcPr>
            <w:tcW w:w="1614" w:type="dxa"/>
            <w:noWrap/>
            <w:hideMark/>
          </w:tcPr>
          <w:p w:rsidR="00B237CD" w:rsidRPr="00B237CD" w:rsidRDefault="00B237CD" w:rsidP="00B237CD">
            <w:pPr>
              <w:rPr>
                <w:rFonts w:ascii="Calibri" w:eastAsia="Times New Roman" w:hAnsi="Calibri" w:cs="Times New Roman"/>
                <w:color w:val="000000"/>
              </w:rPr>
            </w:pPr>
          </w:p>
        </w:tc>
      </w:tr>
      <w:tr w:rsidR="00B237CD" w:rsidRPr="00B237CD" w:rsidTr="00B237CD">
        <w:trPr>
          <w:trHeight w:val="300"/>
        </w:trPr>
        <w:tc>
          <w:tcPr>
            <w:tcW w:w="3528"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of GEF that go to Aux. Enterprises</w:t>
            </w:r>
          </w:p>
        </w:tc>
        <w:tc>
          <w:tcPr>
            <w:tcW w:w="1698"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                        4.63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                        4.31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                        4.15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                        4.00 </w:t>
            </w:r>
          </w:p>
        </w:tc>
      </w:tr>
      <w:tr w:rsidR="00B237CD" w:rsidRPr="00B237CD" w:rsidTr="00B237CD">
        <w:trPr>
          <w:trHeight w:val="300"/>
        </w:trPr>
        <w:tc>
          <w:tcPr>
            <w:tcW w:w="3528"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of GEF that go to Athletics</w:t>
            </w:r>
          </w:p>
        </w:tc>
        <w:tc>
          <w:tcPr>
            <w:tcW w:w="1698"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                        2.58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                        2.82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                        2.68 </w:t>
            </w:r>
          </w:p>
        </w:tc>
        <w:tc>
          <w:tcPr>
            <w:tcW w:w="1614" w:type="dxa"/>
            <w:noWrap/>
            <w:hideMark/>
          </w:tcPr>
          <w:p w:rsidR="00B237CD" w:rsidRPr="00B237CD" w:rsidRDefault="00B237CD" w:rsidP="00B237CD">
            <w:pPr>
              <w:rPr>
                <w:rFonts w:ascii="Calibri" w:eastAsia="Times New Roman" w:hAnsi="Calibri" w:cs="Times New Roman"/>
                <w:color w:val="000000"/>
              </w:rPr>
            </w:pPr>
            <w:r w:rsidRPr="00B237CD">
              <w:rPr>
                <w:rFonts w:ascii="Calibri" w:eastAsia="Times New Roman" w:hAnsi="Calibri" w:cs="Times New Roman"/>
                <w:color w:val="000000"/>
              </w:rPr>
              <w:t xml:space="preserve">                        2.51 </w:t>
            </w:r>
          </w:p>
        </w:tc>
      </w:tr>
    </w:tbl>
    <w:p w:rsidR="00B237CD" w:rsidRPr="00DE163F" w:rsidRDefault="00B237CD"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C174C1" w:rsidRDefault="00C174C1"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Athletics </w:t>
      </w:r>
      <w:r w:rsidR="009151F1">
        <w:rPr>
          <w:rFonts w:eastAsia="Times New Roman" w:cs="Courier New"/>
        </w:rPr>
        <w:t>has</w:t>
      </w:r>
      <w:r>
        <w:rPr>
          <w:rFonts w:eastAsia="Times New Roman" w:cs="Courier New"/>
        </w:rPr>
        <w:t xml:space="preserve"> </w:t>
      </w:r>
      <w:r w:rsidR="007A0619">
        <w:rPr>
          <w:rFonts w:eastAsia="Times New Roman" w:cs="Courier New"/>
        </w:rPr>
        <w:t xml:space="preserve">reduced </w:t>
      </w:r>
      <w:r>
        <w:rPr>
          <w:rFonts w:eastAsia="Times New Roman" w:cs="Courier New"/>
        </w:rPr>
        <w:t>its dependence on the general fund</w:t>
      </w:r>
      <w:r w:rsidR="0087380E">
        <w:rPr>
          <w:rFonts w:eastAsia="Times New Roman" w:cs="Courier New"/>
        </w:rPr>
        <w:t xml:space="preserve"> over the past four years</w:t>
      </w:r>
      <w:r>
        <w:rPr>
          <w:rFonts w:eastAsia="Times New Roman" w:cs="Courier New"/>
        </w:rPr>
        <w:t xml:space="preserve">. </w:t>
      </w:r>
      <w:r w:rsidR="005D3486">
        <w:rPr>
          <w:rFonts w:eastAsia="Times New Roman" w:cs="Courier New"/>
        </w:rPr>
        <w:t>Support for a</w:t>
      </w:r>
      <w:r>
        <w:rPr>
          <w:rFonts w:eastAsia="Times New Roman" w:cs="Courier New"/>
        </w:rPr>
        <w:t>uxiliaries in total are decreasing</w:t>
      </w:r>
      <w:r w:rsidR="007A0619">
        <w:rPr>
          <w:rFonts w:eastAsia="Times New Roman" w:cs="Courier New"/>
        </w:rPr>
        <w:t xml:space="preserve"> in this time period</w:t>
      </w:r>
      <w:r>
        <w:rPr>
          <w:rFonts w:eastAsia="Times New Roman" w:cs="Courier New"/>
        </w:rPr>
        <w:t xml:space="preserve">, but remain above the 3% threshold from the faculty senate resolution passed in 2009. </w:t>
      </w:r>
    </w:p>
    <w:p w:rsidR="00C174C1" w:rsidRDefault="00C174C1"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1718D1" w:rsidRDefault="001718D1">
      <w:pPr>
        <w:rPr>
          <w:rFonts w:eastAsia="Times New Roman" w:cs="Courier New"/>
        </w:rPr>
      </w:pPr>
      <w:r>
        <w:rPr>
          <w:rFonts w:eastAsia="Times New Roman" w:cs="Courier New"/>
        </w:rPr>
        <w:t xml:space="preserve">Given that athletics has been seen as a financial concern </w:t>
      </w:r>
      <w:r w:rsidR="00737F3F">
        <w:rPr>
          <w:rFonts w:eastAsia="Times New Roman" w:cs="Courier New"/>
        </w:rPr>
        <w:t>in some quarters</w:t>
      </w:r>
      <w:r>
        <w:rPr>
          <w:rFonts w:eastAsia="Times New Roman" w:cs="Courier New"/>
        </w:rPr>
        <w:t xml:space="preserve">, we </w:t>
      </w:r>
      <w:r w:rsidR="00737F3F">
        <w:rPr>
          <w:rFonts w:eastAsia="Times New Roman" w:cs="Courier New"/>
        </w:rPr>
        <w:t>have investigated the financial details of athletics in more detail</w:t>
      </w:r>
      <w:r w:rsidR="008748C8">
        <w:rPr>
          <w:rFonts w:eastAsia="Times New Roman" w:cs="Courier New"/>
        </w:rPr>
        <w:t xml:space="preserve"> (see table below)</w:t>
      </w:r>
      <w:r w:rsidR="00737F3F">
        <w:rPr>
          <w:rFonts w:eastAsia="Times New Roman" w:cs="Courier New"/>
        </w:rPr>
        <w:t>. After peaking around 2008</w:t>
      </w:r>
      <w:r w:rsidR="00D94CDC">
        <w:rPr>
          <w:rFonts w:eastAsia="Times New Roman" w:cs="Courier New"/>
        </w:rPr>
        <w:t xml:space="preserve"> (30% larger than 2003)</w:t>
      </w:r>
      <w:r w:rsidR="00737F3F">
        <w:rPr>
          <w:rFonts w:eastAsia="Times New Roman" w:cs="Courier New"/>
        </w:rPr>
        <w:t xml:space="preserve">, GEF support for athletics has reduced to </w:t>
      </w:r>
      <w:r w:rsidR="00D94CDC">
        <w:rPr>
          <w:rFonts w:eastAsia="Times New Roman" w:cs="Courier New"/>
        </w:rPr>
        <w:t xml:space="preserve">be only 7% larger than </w:t>
      </w:r>
      <w:r w:rsidR="00737F3F">
        <w:rPr>
          <w:rFonts w:eastAsia="Times New Roman" w:cs="Courier New"/>
        </w:rPr>
        <w:t xml:space="preserve">2003 levels. The athletics department has also significantly increased its non-GEF revenues over the past 10 years (~ 150%). Foundation </w:t>
      </w:r>
      <w:r w:rsidR="00BB1BA5">
        <w:rPr>
          <w:rFonts w:eastAsia="Times New Roman" w:cs="Courier New"/>
        </w:rPr>
        <w:t>derived revenues have</w:t>
      </w:r>
      <w:r w:rsidR="00737F3F">
        <w:rPr>
          <w:rFonts w:eastAsia="Times New Roman" w:cs="Courier New"/>
        </w:rPr>
        <w:t xml:space="preserve"> also increased by about 400% and NCAA support has doubled. However, both salaries and other expenses have both increased by nearly 70% while GEF support has increased by </w:t>
      </w:r>
      <w:r w:rsidR="008748C8">
        <w:rPr>
          <w:rFonts w:eastAsia="Times New Roman" w:cs="Courier New"/>
        </w:rPr>
        <w:t>7</w:t>
      </w:r>
      <w:r w:rsidR="00737F3F">
        <w:rPr>
          <w:rFonts w:eastAsia="Times New Roman" w:cs="Courier New"/>
        </w:rPr>
        <w:t>%. Another potential issue is that athletics has a consistent net liability (for 2013 this exceeds $700k). While this net liability is reported to be mainly due to untaken vacation and other leave, this bill will eventually come due. While the athletics department has done an admirable job of generating non-GEF revenue, given that academic funding has stagnated and appropriations have essentially been reduced in this time period, perhaps more could be done to reduce the GEF funding of athletics</w:t>
      </w:r>
      <w:r w:rsidR="00695BA1">
        <w:rPr>
          <w:rFonts w:eastAsia="Times New Roman" w:cs="Courier New"/>
        </w:rPr>
        <w:t xml:space="preserve"> and other auxiliary units to increase support for academic programs</w:t>
      </w:r>
      <w:r w:rsidR="00737F3F">
        <w:rPr>
          <w:rFonts w:eastAsia="Times New Roman" w:cs="Courier New"/>
        </w:rPr>
        <w:t xml:space="preserve">. </w:t>
      </w:r>
    </w:p>
    <w:p w:rsidR="00737F3F" w:rsidRDefault="00737F3F">
      <w:pPr>
        <w:rPr>
          <w:rFonts w:eastAsia="Times New Roman" w:cs="Courier New"/>
        </w:rPr>
      </w:pPr>
      <w:r>
        <w:rPr>
          <w:rFonts w:eastAsia="Times New Roman" w:cs="Courier New"/>
        </w:rPr>
        <w:br w:type="page"/>
      </w:r>
    </w:p>
    <w:p w:rsidR="00C174C1" w:rsidRDefault="001718D1" w:rsidP="00171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rPr>
      </w:pPr>
      <w:r>
        <w:rPr>
          <w:rFonts w:eastAsia="Times New Roman" w:cs="Courier New"/>
        </w:rPr>
        <w:lastRenderedPageBreak/>
        <w:t>Table of Athletics Financials</w:t>
      </w:r>
    </w:p>
    <w:p w:rsidR="001718D1" w:rsidRDefault="001718D1" w:rsidP="00171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rPr>
      </w:pPr>
    </w:p>
    <w:tbl>
      <w:tblPr>
        <w:tblStyle w:val="TableGrid"/>
        <w:tblW w:w="9658" w:type="dxa"/>
        <w:tblLook w:val="04A0" w:firstRow="1" w:lastRow="0" w:firstColumn="1" w:lastColumn="0" w:noHBand="0" w:noVBand="1"/>
      </w:tblPr>
      <w:tblGrid>
        <w:gridCol w:w="1389"/>
        <w:gridCol w:w="878"/>
        <w:gridCol w:w="878"/>
        <w:gridCol w:w="878"/>
        <w:gridCol w:w="878"/>
        <w:gridCol w:w="878"/>
        <w:gridCol w:w="878"/>
        <w:gridCol w:w="878"/>
        <w:gridCol w:w="878"/>
        <w:gridCol w:w="878"/>
        <w:gridCol w:w="878"/>
      </w:tblGrid>
      <w:tr w:rsidR="001718D1" w:rsidRPr="001718D1" w:rsidTr="001718D1">
        <w:trPr>
          <w:trHeight w:val="375"/>
        </w:trPr>
        <w:tc>
          <w:tcPr>
            <w:tcW w:w="878" w:type="dxa"/>
            <w:noWrap/>
            <w:hideMark/>
          </w:tcPr>
          <w:p w:rsidR="001718D1" w:rsidRPr="001718D1" w:rsidRDefault="001718D1" w:rsidP="001718D1">
            <w:pPr>
              <w:rPr>
                <w:rFonts w:ascii="Calibri" w:eastAsia="Times New Roman" w:hAnsi="Calibri" w:cs="Times New Roman"/>
                <w:color w:val="000000"/>
              </w:rPr>
            </w:pPr>
            <w:r w:rsidRPr="001718D1">
              <w:rPr>
                <w:rFonts w:ascii="Calibri" w:eastAsia="Times New Roman" w:hAnsi="Calibri" w:cs="Times New Roman"/>
                <w:color w:val="000000"/>
              </w:rPr>
              <w:t>(in k$)</w:t>
            </w:r>
          </w:p>
        </w:tc>
        <w:tc>
          <w:tcPr>
            <w:tcW w:w="878" w:type="dxa"/>
            <w:noWrap/>
            <w:hideMark/>
          </w:tcPr>
          <w:p w:rsidR="001718D1" w:rsidRPr="001718D1" w:rsidRDefault="001718D1" w:rsidP="001718D1">
            <w:pPr>
              <w:jc w:val="center"/>
              <w:rPr>
                <w:rFonts w:ascii="Calibri" w:eastAsia="Times New Roman" w:hAnsi="Calibri" w:cs="Times New Roman"/>
                <w:b/>
                <w:bCs/>
                <w:color w:val="000000"/>
                <w:sz w:val="28"/>
                <w:szCs w:val="28"/>
              </w:rPr>
            </w:pPr>
            <w:r w:rsidRPr="001718D1">
              <w:rPr>
                <w:rFonts w:ascii="Calibri" w:eastAsia="Times New Roman" w:hAnsi="Calibri" w:cs="Times New Roman"/>
                <w:b/>
                <w:bCs/>
                <w:color w:val="000000"/>
                <w:sz w:val="28"/>
                <w:szCs w:val="28"/>
              </w:rPr>
              <w:t>2003</w:t>
            </w:r>
          </w:p>
        </w:tc>
        <w:tc>
          <w:tcPr>
            <w:tcW w:w="878" w:type="dxa"/>
            <w:noWrap/>
            <w:hideMark/>
          </w:tcPr>
          <w:p w:rsidR="001718D1" w:rsidRPr="001718D1" w:rsidRDefault="001718D1" w:rsidP="001718D1">
            <w:pPr>
              <w:jc w:val="center"/>
              <w:rPr>
                <w:rFonts w:ascii="Calibri" w:eastAsia="Times New Roman" w:hAnsi="Calibri" w:cs="Times New Roman"/>
                <w:b/>
                <w:bCs/>
                <w:color w:val="000000"/>
                <w:sz w:val="28"/>
                <w:szCs w:val="28"/>
              </w:rPr>
            </w:pPr>
            <w:r w:rsidRPr="001718D1">
              <w:rPr>
                <w:rFonts w:ascii="Calibri" w:eastAsia="Times New Roman" w:hAnsi="Calibri" w:cs="Times New Roman"/>
                <w:b/>
                <w:bCs/>
                <w:color w:val="000000"/>
                <w:sz w:val="28"/>
                <w:szCs w:val="28"/>
              </w:rPr>
              <w:t>2004</w:t>
            </w:r>
          </w:p>
        </w:tc>
        <w:tc>
          <w:tcPr>
            <w:tcW w:w="878" w:type="dxa"/>
            <w:noWrap/>
            <w:hideMark/>
          </w:tcPr>
          <w:p w:rsidR="001718D1" w:rsidRPr="001718D1" w:rsidRDefault="001718D1" w:rsidP="001718D1">
            <w:pPr>
              <w:jc w:val="center"/>
              <w:rPr>
                <w:rFonts w:ascii="Calibri" w:eastAsia="Times New Roman" w:hAnsi="Calibri" w:cs="Times New Roman"/>
                <w:b/>
                <w:bCs/>
                <w:color w:val="000000"/>
                <w:sz w:val="28"/>
                <w:szCs w:val="28"/>
              </w:rPr>
            </w:pPr>
            <w:r w:rsidRPr="001718D1">
              <w:rPr>
                <w:rFonts w:ascii="Calibri" w:eastAsia="Times New Roman" w:hAnsi="Calibri" w:cs="Times New Roman"/>
                <w:b/>
                <w:bCs/>
                <w:color w:val="000000"/>
                <w:sz w:val="28"/>
                <w:szCs w:val="28"/>
              </w:rPr>
              <w:t>2005</w:t>
            </w:r>
          </w:p>
        </w:tc>
        <w:tc>
          <w:tcPr>
            <w:tcW w:w="878" w:type="dxa"/>
            <w:noWrap/>
            <w:hideMark/>
          </w:tcPr>
          <w:p w:rsidR="001718D1" w:rsidRPr="001718D1" w:rsidRDefault="001718D1" w:rsidP="001718D1">
            <w:pPr>
              <w:jc w:val="center"/>
              <w:rPr>
                <w:rFonts w:ascii="Calibri" w:eastAsia="Times New Roman" w:hAnsi="Calibri" w:cs="Times New Roman"/>
                <w:b/>
                <w:bCs/>
                <w:color w:val="000000"/>
                <w:sz w:val="28"/>
                <w:szCs w:val="28"/>
              </w:rPr>
            </w:pPr>
            <w:r w:rsidRPr="001718D1">
              <w:rPr>
                <w:rFonts w:ascii="Calibri" w:eastAsia="Times New Roman" w:hAnsi="Calibri" w:cs="Times New Roman"/>
                <w:b/>
                <w:bCs/>
                <w:color w:val="000000"/>
                <w:sz w:val="28"/>
                <w:szCs w:val="28"/>
              </w:rPr>
              <w:t>2006</w:t>
            </w:r>
          </w:p>
        </w:tc>
        <w:tc>
          <w:tcPr>
            <w:tcW w:w="878" w:type="dxa"/>
            <w:noWrap/>
            <w:hideMark/>
          </w:tcPr>
          <w:p w:rsidR="001718D1" w:rsidRPr="001718D1" w:rsidRDefault="001718D1" w:rsidP="001718D1">
            <w:pPr>
              <w:jc w:val="center"/>
              <w:rPr>
                <w:rFonts w:ascii="Calibri" w:eastAsia="Times New Roman" w:hAnsi="Calibri" w:cs="Times New Roman"/>
                <w:b/>
                <w:bCs/>
                <w:color w:val="000000"/>
                <w:sz w:val="28"/>
                <w:szCs w:val="28"/>
              </w:rPr>
            </w:pPr>
            <w:r w:rsidRPr="001718D1">
              <w:rPr>
                <w:rFonts w:ascii="Calibri" w:eastAsia="Times New Roman" w:hAnsi="Calibri" w:cs="Times New Roman"/>
                <w:b/>
                <w:bCs/>
                <w:color w:val="000000"/>
                <w:sz w:val="28"/>
                <w:szCs w:val="28"/>
              </w:rPr>
              <w:t>2007</w:t>
            </w:r>
          </w:p>
        </w:tc>
        <w:tc>
          <w:tcPr>
            <w:tcW w:w="878" w:type="dxa"/>
            <w:noWrap/>
            <w:hideMark/>
          </w:tcPr>
          <w:p w:rsidR="001718D1" w:rsidRPr="001718D1" w:rsidRDefault="001718D1" w:rsidP="001718D1">
            <w:pPr>
              <w:jc w:val="center"/>
              <w:rPr>
                <w:rFonts w:ascii="Calibri" w:eastAsia="Times New Roman" w:hAnsi="Calibri" w:cs="Times New Roman"/>
                <w:b/>
                <w:bCs/>
                <w:color w:val="000000"/>
                <w:sz w:val="28"/>
                <w:szCs w:val="28"/>
              </w:rPr>
            </w:pPr>
            <w:r w:rsidRPr="001718D1">
              <w:rPr>
                <w:rFonts w:ascii="Calibri" w:eastAsia="Times New Roman" w:hAnsi="Calibri" w:cs="Times New Roman"/>
                <w:b/>
                <w:bCs/>
                <w:color w:val="000000"/>
                <w:sz w:val="28"/>
                <w:szCs w:val="28"/>
              </w:rPr>
              <w:t>2008</w:t>
            </w:r>
          </w:p>
        </w:tc>
        <w:tc>
          <w:tcPr>
            <w:tcW w:w="878" w:type="dxa"/>
            <w:noWrap/>
            <w:hideMark/>
          </w:tcPr>
          <w:p w:rsidR="001718D1" w:rsidRPr="001718D1" w:rsidRDefault="001718D1" w:rsidP="001718D1">
            <w:pPr>
              <w:jc w:val="center"/>
              <w:rPr>
                <w:rFonts w:ascii="Calibri" w:eastAsia="Times New Roman" w:hAnsi="Calibri" w:cs="Times New Roman"/>
                <w:b/>
                <w:bCs/>
                <w:color w:val="000000"/>
                <w:sz w:val="28"/>
                <w:szCs w:val="28"/>
              </w:rPr>
            </w:pPr>
            <w:r w:rsidRPr="001718D1">
              <w:rPr>
                <w:rFonts w:ascii="Calibri" w:eastAsia="Times New Roman" w:hAnsi="Calibri" w:cs="Times New Roman"/>
                <w:b/>
                <w:bCs/>
                <w:color w:val="000000"/>
                <w:sz w:val="28"/>
                <w:szCs w:val="28"/>
              </w:rPr>
              <w:t>2009</w:t>
            </w:r>
          </w:p>
        </w:tc>
        <w:tc>
          <w:tcPr>
            <w:tcW w:w="878" w:type="dxa"/>
            <w:noWrap/>
            <w:hideMark/>
          </w:tcPr>
          <w:p w:rsidR="001718D1" w:rsidRPr="001718D1" w:rsidRDefault="001718D1" w:rsidP="001718D1">
            <w:pPr>
              <w:jc w:val="center"/>
              <w:rPr>
                <w:rFonts w:ascii="Calibri" w:eastAsia="Times New Roman" w:hAnsi="Calibri" w:cs="Times New Roman"/>
                <w:b/>
                <w:bCs/>
                <w:color w:val="000000"/>
                <w:sz w:val="28"/>
                <w:szCs w:val="28"/>
              </w:rPr>
            </w:pPr>
            <w:r w:rsidRPr="001718D1">
              <w:rPr>
                <w:rFonts w:ascii="Calibri" w:eastAsia="Times New Roman" w:hAnsi="Calibri" w:cs="Times New Roman"/>
                <w:b/>
                <w:bCs/>
                <w:color w:val="000000"/>
                <w:sz w:val="28"/>
                <w:szCs w:val="28"/>
              </w:rPr>
              <w:t>2010</w:t>
            </w:r>
          </w:p>
        </w:tc>
        <w:tc>
          <w:tcPr>
            <w:tcW w:w="878" w:type="dxa"/>
            <w:noWrap/>
            <w:hideMark/>
          </w:tcPr>
          <w:p w:rsidR="001718D1" w:rsidRPr="001718D1" w:rsidRDefault="001718D1" w:rsidP="001718D1">
            <w:pPr>
              <w:jc w:val="center"/>
              <w:rPr>
                <w:rFonts w:ascii="Calibri" w:eastAsia="Times New Roman" w:hAnsi="Calibri" w:cs="Times New Roman"/>
                <w:b/>
                <w:bCs/>
                <w:color w:val="000000"/>
                <w:sz w:val="28"/>
                <w:szCs w:val="28"/>
              </w:rPr>
            </w:pPr>
            <w:r w:rsidRPr="001718D1">
              <w:rPr>
                <w:rFonts w:ascii="Calibri" w:eastAsia="Times New Roman" w:hAnsi="Calibri" w:cs="Times New Roman"/>
                <w:b/>
                <w:bCs/>
                <w:color w:val="000000"/>
                <w:sz w:val="28"/>
                <w:szCs w:val="28"/>
              </w:rPr>
              <w:t>2011</w:t>
            </w:r>
          </w:p>
        </w:tc>
        <w:tc>
          <w:tcPr>
            <w:tcW w:w="878" w:type="dxa"/>
            <w:noWrap/>
            <w:hideMark/>
          </w:tcPr>
          <w:p w:rsidR="001718D1" w:rsidRPr="001718D1" w:rsidRDefault="001718D1" w:rsidP="001718D1">
            <w:pPr>
              <w:jc w:val="center"/>
              <w:rPr>
                <w:rFonts w:ascii="Calibri" w:eastAsia="Times New Roman" w:hAnsi="Calibri" w:cs="Times New Roman"/>
                <w:b/>
                <w:bCs/>
                <w:color w:val="000000"/>
                <w:sz w:val="28"/>
                <w:szCs w:val="28"/>
              </w:rPr>
            </w:pPr>
            <w:r w:rsidRPr="001718D1">
              <w:rPr>
                <w:rFonts w:ascii="Calibri" w:eastAsia="Times New Roman" w:hAnsi="Calibri" w:cs="Times New Roman"/>
                <w:b/>
                <w:bCs/>
                <w:color w:val="000000"/>
                <w:sz w:val="28"/>
                <w:szCs w:val="28"/>
              </w:rPr>
              <w:t>2012</w:t>
            </w:r>
          </w:p>
        </w:tc>
      </w:tr>
      <w:tr w:rsidR="001718D1" w:rsidRPr="001718D1" w:rsidTr="001718D1">
        <w:trPr>
          <w:trHeight w:val="300"/>
        </w:trPr>
        <w:tc>
          <w:tcPr>
            <w:tcW w:w="878" w:type="dxa"/>
            <w:noWrap/>
            <w:hideMark/>
          </w:tcPr>
          <w:p w:rsidR="001718D1" w:rsidRPr="001718D1" w:rsidRDefault="001718D1" w:rsidP="001718D1">
            <w:pPr>
              <w:rPr>
                <w:rFonts w:ascii="Calibri" w:eastAsia="Times New Roman" w:hAnsi="Calibri" w:cs="Times New Roman"/>
                <w:color w:val="000000"/>
              </w:rPr>
            </w:pPr>
            <w:r w:rsidRPr="001718D1">
              <w:rPr>
                <w:rFonts w:ascii="Calibri" w:eastAsia="Times New Roman" w:hAnsi="Calibri" w:cs="Times New Roman"/>
                <w:color w:val="000000"/>
              </w:rPr>
              <w:t>Athletics Revenue and other additions</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3,014</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3,595</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3,838</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4,173</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4,895</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5,350</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6,318</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6,779</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6,731</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7,754</w:t>
            </w:r>
          </w:p>
        </w:tc>
      </w:tr>
      <w:tr w:rsidR="001718D1" w:rsidRPr="001718D1" w:rsidTr="001718D1">
        <w:trPr>
          <w:trHeight w:val="300"/>
        </w:trPr>
        <w:tc>
          <w:tcPr>
            <w:tcW w:w="878" w:type="dxa"/>
            <w:noWrap/>
            <w:hideMark/>
          </w:tcPr>
          <w:p w:rsidR="001718D1" w:rsidRPr="001718D1" w:rsidRDefault="001718D1" w:rsidP="001718D1">
            <w:pPr>
              <w:rPr>
                <w:rFonts w:ascii="Calibri" w:eastAsia="Times New Roman" w:hAnsi="Calibri" w:cs="Times New Roman"/>
                <w:color w:val="000000"/>
              </w:rPr>
            </w:pPr>
            <w:r w:rsidRPr="001718D1">
              <w:rPr>
                <w:rFonts w:ascii="Calibri" w:eastAsia="Times New Roman" w:hAnsi="Calibri" w:cs="Times New Roman"/>
                <w:color w:val="000000"/>
              </w:rPr>
              <w:t>Student Activity Fee Allocation</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1,086</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1,225</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1,111</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1,125</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1,281</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1,210</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1,210</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1,213</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1,263</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1,468</w:t>
            </w:r>
          </w:p>
        </w:tc>
      </w:tr>
      <w:tr w:rsidR="001718D1" w:rsidRPr="001718D1" w:rsidTr="001718D1">
        <w:trPr>
          <w:trHeight w:val="300"/>
        </w:trPr>
        <w:tc>
          <w:tcPr>
            <w:tcW w:w="878" w:type="dxa"/>
            <w:noWrap/>
            <w:hideMark/>
          </w:tcPr>
          <w:p w:rsidR="001718D1" w:rsidRPr="001718D1" w:rsidRDefault="001718D1" w:rsidP="001718D1">
            <w:pPr>
              <w:rPr>
                <w:rFonts w:ascii="Calibri" w:eastAsia="Times New Roman" w:hAnsi="Calibri" w:cs="Times New Roman"/>
                <w:color w:val="000000"/>
              </w:rPr>
            </w:pPr>
            <w:r w:rsidRPr="001718D1">
              <w:rPr>
                <w:rFonts w:ascii="Calibri" w:eastAsia="Times New Roman" w:hAnsi="Calibri" w:cs="Times New Roman"/>
                <w:color w:val="000000"/>
              </w:rPr>
              <w:t>Foundation Support for Athletics</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373</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466</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844</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721</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1,267</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979</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986</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1,219</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1,256</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1,881</w:t>
            </w:r>
          </w:p>
        </w:tc>
      </w:tr>
      <w:tr w:rsidR="001718D1" w:rsidRPr="001718D1" w:rsidTr="001718D1">
        <w:trPr>
          <w:trHeight w:val="300"/>
        </w:trPr>
        <w:tc>
          <w:tcPr>
            <w:tcW w:w="878" w:type="dxa"/>
            <w:noWrap/>
            <w:hideMark/>
          </w:tcPr>
          <w:p w:rsidR="001718D1" w:rsidRPr="001718D1" w:rsidRDefault="001718D1" w:rsidP="001718D1">
            <w:pPr>
              <w:rPr>
                <w:rFonts w:ascii="Calibri" w:eastAsia="Times New Roman" w:hAnsi="Calibri" w:cs="Times New Roman"/>
                <w:color w:val="000000"/>
              </w:rPr>
            </w:pPr>
            <w:r w:rsidRPr="001718D1">
              <w:rPr>
                <w:rFonts w:ascii="Calibri" w:eastAsia="Times New Roman" w:hAnsi="Calibri" w:cs="Times New Roman"/>
                <w:color w:val="000000"/>
              </w:rPr>
              <w:t>NCAA support</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283</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470</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391</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445</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519</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534</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543</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642</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683</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897</w:t>
            </w:r>
          </w:p>
        </w:tc>
      </w:tr>
      <w:tr w:rsidR="001718D1" w:rsidRPr="001718D1" w:rsidTr="001718D1">
        <w:trPr>
          <w:trHeight w:val="300"/>
        </w:trPr>
        <w:tc>
          <w:tcPr>
            <w:tcW w:w="878" w:type="dxa"/>
            <w:noWrap/>
            <w:hideMark/>
          </w:tcPr>
          <w:p w:rsidR="001718D1" w:rsidRPr="001718D1" w:rsidRDefault="001718D1" w:rsidP="001718D1">
            <w:pPr>
              <w:rPr>
                <w:rFonts w:ascii="Calibri" w:eastAsia="Times New Roman" w:hAnsi="Calibri" w:cs="Times New Roman"/>
                <w:color w:val="000000"/>
              </w:rPr>
            </w:pPr>
            <w:r w:rsidRPr="001718D1">
              <w:rPr>
                <w:rFonts w:ascii="Calibri" w:eastAsia="Times New Roman" w:hAnsi="Calibri" w:cs="Times New Roman"/>
                <w:color w:val="000000"/>
              </w:rPr>
              <w:t>Promotions and Marketing</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0</w:t>
            </w:r>
          </w:p>
        </w:tc>
        <w:tc>
          <w:tcPr>
            <w:tcW w:w="878" w:type="dxa"/>
            <w:noWrap/>
            <w:hideMark/>
          </w:tcPr>
          <w:p w:rsidR="001718D1" w:rsidRPr="001718D1" w:rsidRDefault="00472DF7" w:rsidP="001718D1">
            <w:pPr>
              <w:rPr>
                <w:rFonts w:ascii="Calibri" w:eastAsia="Times New Roman" w:hAnsi="Calibri" w:cs="Times New Roman"/>
                <w:color w:val="000000"/>
              </w:rPr>
            </w:pPr>
            <w:r>
              <w:rPr>
                <w:rFonts w:ascii="Calibri" w:eastAsia="Times New Roman" w:hAnsi="Calibri" w:cs="Times New Roman"/>
                <w:color w:val="000000"/>
              </w:rPr>
              <w:t>--</w:t>
            </w:r>
          </w:p>
        </w:tc>
        <w:tc>
          <w:tcPr>
            <w:tcW w:w="878" w:type="dxa"/>
            <w:noWrap/>
            <w:hideMark/>
          </w:tcPr>
          <w:p w:rsidR="001718D1" w:rsidRPr="001718D1" w:rsidRDefault="00472DF7" w:rsidP="001718D1">
            <w:pPr>
              <w:rPr>
                <w:rFonts w:ascii="Calibri" w:eastAsia="Times New Roman" w:hAnsi="Calibri" w:cs="Times New Roman"/>
                <w:color w:val="000000"/>
              </w:rPr>
            </w:pPr>
            <w:r>
              <w:rPr>
                <w:rFonts w:ascii="Calibri" w:eastAsia="Times New Roman" w:hAnsi="Calibri" w:cs="Times New Roman"/>
                <w:color w:val="000000"/>
              </w:rPr>
              <w:t>--</w:t>
            </w:r>
          </w:p>
        </w:tc>
        <w:tc>
          <w:tcPr>
            <w:tcW w:w="878" w:type="dxa"/>
            <w:noWrap/>
            <w:hideMark/>
          </w:tcPr>
          <w:p w:rsidR="001718D1" w:rsidRPr="001718D1" w:rsidRDefault="00472DF7" w:rsidP="001718D1">
            <w:pPr>
              <w:rPr>
                <w:rFonts w:ascii="Calibri" w:eastAsia="Times New Roman" w:hAnsi="Calibri" w:cs="Times New Roman"/>
                <w:color w:val="000000"/>
              </w:rPr>
            </w:pPr>
            <w:r>
              <w:rPr>
                <w:rFonts w:ascii="Calibri" w:eastAsia="Times New Roman" w:hAnsi="Calibri" w:cs="Times New Roman"/>
                <w:color w:val="000000"/>
              </w:rPr>
              <w:t>--</w:t>
            </w:r>
          </w:p>
        </w:tc>
        <w:tc>
          <w:tcPr>
            <w:tcW w:w="878" w:type="dxa"/>
            <w:noWrap/>
            <w:hideMark/>
          </w:tcPr>
          <w:p w:rsidR="001718D1" w:rsidRPr="001718D1" w:rsidRDefault="00472DF7" w:rsidP="001718D1">
            <w:pPr>
              <w:rPr>
                <w:rFonts w:ascii="Calibri" w:eastAsia="Times New Roman" w:hAnsi="Calibri" w:cs="Times New Roman"/>
                <w:color w:val="000000"/>
              </w:rPr>
            </w:pPr>
            <w:r>
              <w:rPr>
                <w:rFonts w:ascii="Calibri" w:eastAsia="Times New Roman" w:hAnsi="Calibri" w:cs="Times New Roman"/>
                <w:color w:val="000000"/>
              </w:rPr>
              <w:t>--</w:t>
            </w:r>
          </w:p>
        </w:tc>
        <w:tc>
          <w:tcPr>
            <w:tcW w:w="878" w:type="dxa"/>
            <w:noWrap/>
            <w:hideMark/>
          </w:tcPr>
          <w:p w:rsidR="001718D1" w:rsidRPr="001718D1" w:rsidRDefault="00472DF7" w:rsidP="001718D1">
            <w:pPr>
              <w:rPr>
                <w:rFonts w:ascii="Calibri" w:eastAsia="Times New Roman" w:hAnsi="Calibri" w:cs="Times New Roman"/>
                <w:color w:val="000000"/>
              </w:rPr>
            </w:pPr>
            <w:r>
              <w:rPr>
                <w:rFonts w:ascii="Calibri" w:eastAsia="Times New Roman" w:hAnsi="Calibri" w:cs="Times New Roman"/>
                <w:color w:val="000000"/>
              </w:rPr>
              <w:t>--</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1,052</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1,057</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1,056</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1,074</w:t>
            </w:r>
          </w:p>
        </w:tc>
      </w:tr>
      <w:tr w:rsidR="001718D1" w:rsidRPr="001718D1" w:rsidTr="001718D1">
        <w:trPr>
          <w:trHeight w:val="300"/>
        </w:trPr>
        <w:tc>
          <w:tcPr>
            <w:tcW w:w="878" w:type="dxa"/>
            <w:noWrap/>
            <w:hideMark/>
          </w:tcPr>
          <w:p w:rsidR="001718D1" w:rsidRPr="001718D1" w:rsidRDefault="001718D1" w:rsidP="001718D1">
            <w:pPr>
              <w:rPr>
                <w:rFonts w:ascii="Calibri" w:eastAsia="Times New Roman" w:hAnsi="Calibri" w:cs="Times New Roman"/>
                <w:color w:val="000000"/>
              </w:rPr>
            </w:pPr>
            <w:r w:rsidRPr="001718D1">
              <w:rPr>
                <w:rFonts w:ascii="Calibri" w:eastAsia="Times New Roman" w:hAnsi="Calibri" w:cs="Times New Roman"/>
                <w:color w:val="000000"/>
              </w:rPr>
              <w:t xml:space="preserve">Athletics Salaries </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3,034</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3,353</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3,523</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3,573</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3,896</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4,041</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4,661</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4,769</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5,013</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5,108</w:t>
            </w:r>
          </w:p>
        </w:tc>
      </w:tr>
      <w:tr w:rsidR="001718D1" w:rsidRPr="001718D1" w:rsidTr="001718D1">
        <w:trPr>
          <w:trHeight w:val="300"/>
        </w:trPr>
        <w:tc>
          <w:tcPr>
            <w:tcW w:w="878" w:type="dxa"/>
            <w:noWrap/>
            <w:hideMark/>
          </w:tcPr>
          <w:p w:rsidR="001718D1" w:rsidRPr="001718D1" w:rsidRDefault="001718D1" w:rsidP="001718D1">
            <w:pPr>
              <w:rPr>
                <w:rFonts w:ascii="Calibri" w:eastAsia="Times New Roman" w:hAnsi="Calibri" w:cs="Times New Roman"/>
                <w:color w:val="000000"/>
              </w:rPr>
            </w:pPr>
            <w:r w:rsidRPr="001718D1">
              <w:rPr>
                <w:rFonts w:ascii="Calibri" w:eastAsia="Times New Roman" w:hAnsi="Calibri" w:cs="Times New Roman"/>
                <w:color w:val="000000"/>
              </w:rPr>
              <w:t>Athletics Expenses &amp; Deductions</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7,303</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8,243</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8,794</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9,261</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10,511</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10,776</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12,061</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11,675</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11,640</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12,203</w:t>
            </w:r>
          </w:p>
        </w:tc>
      </w:tr>
      <w:tr w:rsidR="001718D1" w:rsidRPr="001718D1" w:rsidTr="001718D1">
        <w:trPr>
          <w:trHeight w:val="300"/>
        </w:trPr>
        <w:tc>
          <w:tcPr>
            <w:tcW w:w="878" w:type="dxa"/>
            <w:noWrap/>
            <w:hideMark/>
          </w:tcPr>
          <w:p w:rsidR="001718D1" w:rsidRPr="001718D1" w:rsidRDefault="001718D1" w:rsidP="001718D1">
            <w:pPr>
              <w:rPr>
                <w:rFonts w:ascii="Calibri" w:eastAsia="Times New Roman" w:hAnsi="Calibri" w:cs="Times New Roman"/>
                <w:color w:val="000000"/>
              </w:rPr>
            </w:pPr>
            <w:r w:rsidRPr="001718D1">
              <w:rPr>
                <w:rFonts w:ascii="Calibri" w:eastAsia="Times New Roman" w:hAnsi="Calibri" w:cs="Times New Roman"/>
                <w:color w:val="000000"/>
              </w:rPr>
              <w:t>Athletics Revenue over (under) Expenditures</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-4,288</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-4,648</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-4,956</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-5,088</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-5,616</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-5,426</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-5,743</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-4,897</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-4,908</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-4,448</w:t>
            </w:r>
          </w:p>
        </w:tc>
      </w:tr>
      <w:tr w:rsidR="001718D1" w:rsidRPr="001718D1" w:rsidTr="001718D1">
        <w:trPr>
          <w:trHeight w:val="300"/>
        </w:trPr>
        <w:tc>
          <w:tcPr>
            <w:tcW w:w="878" w:type="dxa"/>
            <w:noWrap/>
            <w:hideMark/>
          </w:tcPr>
          <w:p w:rsidR="001718D1" w:rsidRPr="001718D1" w:rsidRDefault="001718D1" w:rsidP="001718D1">
            <w:pPr>
              <w:rPr>
                <w:rFonts w:ascii="Calibri" w:eastAsia="Times New Roman" w:hAnsi="Calibri" w:cs="Times New Roman"/>
                <w:color w:val="000000"/>
              </w:rPr>
            </w:pPr>
            <w:r w:rsidRPr="001718D1">
              <w:rPr>
                <w:rFonts w:ascii="Calibri" w:eastAsia="Times New Roman" w:hAnsi="Calibri" w:cs="Times New Roman"/>
                <w:color w:val="000000"/>
              </w:rPr>
              <w:t>General Education Fund Support for Athletics</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4,149</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4,663</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4,861</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5,156</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5,284</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5,355</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5,231</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4,449</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4,559</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4,323</w:t>
            </w:r>
          </w:p>
        </w:tc>
      </w:tr>
      <w:tr w:rsidR="001718D1" w:rsidRPr="001718D1" w:rsidTr="001718D1">
        <w:trPr>
          <w:trHeight w:val="300"/>
        </w:trPr>
        <w:tc>
          <w:tcPr>
            <w:tcW w:w="878" w:type="dxa"/>
            <w:noWrap/>
            <w:hideMark/>
          </w:tcPr>
          <w:p w:rsidR="001718D1" w:rsidRPr="001718D1" w:rsidRDefault="001718D1" w:rsidP="001718D1">
            <w:pPr>
              <w:rPr>
                <w:rFonts w:ascii="Calibri" w:eastAsia="Times New Roman" w:hAnsi="Calibri" w:cs="Times New Roman"/>
                <w:color w:val="000000"/>
              </w:rPr>
            </w:pPr>
            <w:r w:rsidRPr="001718D1">
              <w:rPr>
                <w:rFonts w:ascii="Calibri" w:eastAsia="Times New Roman" w:hAnsi="Calibri" w:cs="Times New Roman"/>
                <w:color w:val="000000"/>
              </w:rPr>
              <w:t xml:space="preserve">Net Transfers In </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4,203</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4,602</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4,926</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5,098</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5,412</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5,450</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5,858</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4,821</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4,888</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4,486</w:t>
            </w:r>
          </w:p>
        </w:tc>
      </w:tr>
      <w:tr w:rsidR="001718D1" w:rsidRPr="001718D1" w:rsidTr="001718D1">
        <w:trPr>
          <w:trHeight w:val="300"/>
        </w:trPr>
        <w:tc>
          <w:tcPr>
            <w:tcW w:w="878" w:type="dxa"/>
            <w:noWrap/>
            <w:hideMark/>
          </w:tcPr>
          <w:p w:rsidR="001718D1" w:rsidRPr="001718D1" w:rsidRDefault="001718D1" w:rsidP="001718D1">
            <w:pPr>
              <w:rPr>
                <w:rFonts w:ascii="Calibri" w:eastAsia="Times New Roman" w:hAnsi="Calibri" w:cs="Times New Roman"/>
                <w:color w:val="000000"/>
              </w:rPr>
            </w:pPr>
            <w:r w:rsidRPr="001718D1">
              <w:rPr>
                <w:rFonts w:ascii="Calibri" w:eastAsia="Times New Roman" w:hAnsi="Calibri" w:cs="Times New Roman"/>
                <w:color w:val="000000"/>
              </w:rPr>
              <w:t>Revenues over (under) expenditures &amp; transfers</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-86</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-45</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-29</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10</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-203</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24</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61</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-75</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-74</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37</w:t>
            </w:r>
          </w:p>
        </w:tc>
      </w:tr>
      <w:tr w:rsidR="001718D1" w:rsidRPr="001718D1" w:rsidTr="001718D1">
        <w:trPr>
          <w:trHeight w:val="300"/>
        </w:trPr>
        <w:tc>
          <w:tcPr>
            <w:tcW w:w="878" w:type="dxa"/>
            <w:noWrap/>
            <w:hideMark/>
          </w:tcPr>
          <w:p w:rsidR="001718D1" w:rsidRPr="001718D1" w:rsidRDefault="001718D1" w:rsidP="001718D1">
            <w:pPr>
              <w:rPr>
                <w:rFonts w:ascii="Calibri" w:eastAsia="Times New Roman" w:hAnsi="Calibri" w:cs="Times New Roman"/>
                <w:color w:val="000000"/>
              </w:rPr>
            </w:pPr>
            <w:r w:rsidRPr="001718D1">
              <w:rPr>
                <w:rFonts w:ascii="Calibri" w:eastAsia="Times New Roman" w:hAnsi="Calibri" w:cs="Times New Roman"/>
                <w:color w:val="000000"/>
              </w:rPr>
              <w:t>Athletics Total Net Assets (June 30)</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-403</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-449</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-478</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-468</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-671</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-648</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-586</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-662</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-662</w:t>
            </w:r>
          </w:p>
        </w:tc>
        <w:tc>
          <w:tcPr>
            <w:tcW w:w="878" w:type="dxa"/>
            <w:noWrap/>
            <w:hideMark/>
          </w:tcPr>
          <w:p w:rsidR="001718D1" w:rsidRPr="001718D1" w:rsidRDefault="001718D1" w:rsidP="001718D1">
            <w:pPr>
              <w:jc w:val="right"/>
              <w:rPr>
                <w:rFonts w:ascii="Calibri" w:eastAsia="Times New Roman" w:hAnsi="Calibri" w:cs="Times New Roman"/>
                <w:color w:val="000000"/>
              </w:rPr>
            </w:pPr>
            <w:r w:rsidRPr="001718D1">
              <w:rPr>
                <w:rFonts w:ascii="Calibri" w:eastAsia="Times New Roman" w:hAnsi="Calibri" w:cs="Times New Roman"/>
                <w:color w:val="000000"/>
              </w:rPr>
              <w:t>-698</w:t>
            </w:r>
          </w:p>
        </w:tc>
      </w:tr>
    </w:tbl>
    <w:p w:rsidR="001718D1" w:rsidRDefault="001718D1"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BB3F05" w:rsidRDefault="00BB3F05"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BB3F05" w:rsidRDefault="00BB3F05"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DE163F" w:rsidRPr="00DE163F" w:rsidRDefault="00DE163F"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DE163F">
        <w:rPr>
          <w:rFonts w:eastAsia="Times New Roman" w:cs="Courier New"/>
        </w:rPr>
        <w:tab/>
      </w:r>
    </w:p>
    <w:p w:rsidR="00DE163F" w:rsidRPr="00DE163F" w:rsidRDefault="00DE163F" w:rsidP="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0301F5" w:rsidRDefault="000301F5" w:rsidP="000301F5">
      <w:pPr>
        <w:jc w:val="center"/>
        <w:rPr>
          <w:rFonts w:eastAsia="Times New Roman" w:cs="Courier New"/>
        </w:rPr>
      </w:pPr>
      <w:r>
        <w:rPr>
          <w:noProof/>
        </w:rPr>
        <w:lastRenderedPageBreak/>
        <w:drawing>
          <wp:inline distT="0" distB="0" distL="0" distR="0" wp14:anchorId="574914AB" wp14:editId="29AAC621">
            <wp:extent cx="4572000" cy="47625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301F5" w:rsidRDefault="000301F5" w:rsidP="000301F5">
      <w:pPr>
        <w:rPr>
          <w:rFonts w:eastAsia="Times New Roman" w:cs="Courier New"/>
        </w:rPr>
      </w:pPr>
    </w:p>
    <w:p w:rsidR="000301F5" w:rsidRDefault="00472DF7" w:rsidP="000301F5">
      <w:pPr>
        <w:rPr>
          <w:rFonts w:eastAsia="Times New Roman" w:cs="Courier New"/>
        </w:rPr>
      </w:pPr>
      <w:r>
        <w:rPr>
          <w:rFonts w:eastAsia="Times New Roman" w:cs="Courier New"/>
        </w:rPr>
        <w:t xml:space="preserve">Athletics Revenue has increased ~ 160% since 2003. Salaries and expenses have increased ~ 70% since 2003. GEF support (based on net transfers in) has increased 7% since 2003. </w:t>
      </w:r>
    </w:p>
    <w:p w:rsidR="000301F5" w:rsidRDefault="000301F5">
      <w:pPr>
        <w:rPr>
          <w:rFonts w:eastAsia="Times New Roman" w:cs="Courier New"/>
        </w:rPr>
      </w:pPr>
    </w:p>
    <w:p w:rsidR="000301F5" w:rsidRDefault="000301F5">
      <w:pPr>
        <w:rPr>
          <w:rFonts w:eastAsia="Times New Roman" w:cs="Courier New"/>
        </w:rPr>
      </w:pPr>
    </w:p>
    <w:p w:rsidR="000301F5" w:rsidRDefault="000301F5">
      <w:pPr>
        <w:rPr>
          <w:rFonts w:eastAsia="Times New Roman" w:cs="Courier New"/>
        </w:rPr>
      </w:pPr>
    </w:p>
    <w:p w:rsidR="00472DF7" w:rsidRDefault="00472DF7">
      <w:pPr>
        <w:rPr>
          <w:rFonts w:eastAsia="Times New Roman" w:cs="Courier New"/>
        </w:rPr>
      </w:pPr>
      <w:r>
        <w:rPr>
          <w:rFonts w:eastAsia="Times New Roman" w:cs="Courier New"/>
        </w:rPr>
        <w:br w:type="page"/>
      </w:r>
    </w:p>
    <w:p w:rsidR="007E1489" w:rsidRDefault="007E1489">
      <w:pPr>
        <w:rPr>
          <w:rFonts w:eastAsia="Times New Roman" w:cs="Courier New"/>
        </w:rPr>
      </w:pPr>
      <w:r>
        <w:rPr>
          <w:rFonts w:eastAsia="Times New Roman" w:cs="Courier New"/>
        </w:rPr>
        <w:lastRenderedPageBreak/>
        <w:t>VI. Closure of Malcolm Price Lab School</w:t>
      </w:r>
    </w:p>
    <w:p w:rsidR="007A52AB" w:rsidRDefault="00DF1D3D" w:rsidP="007A52AB">
      <w:pPr>
        <w:pStyle w:val="ListParagraph"/>
        <w:numPr>
          <w:ilvl w:val="0"/>
          <w:numId w:val="4"/>
        </w:numPr>
        <w:rPr>
          <w:rFonts w:eastAsia="Times New Roman" w:cs="Courier New"/>
        </w:rPr>
      </w:pPr>
      <w:r>
        <w:rPr>
          <w:rFonts w:eastAsia="Times New Roman" w:cs="Courier New"/>
        </w:rPr>
        <w:t>One-</w:t>
      </w:r>
      <w:r w:rsidR="007A52AB">
        <w:rPr>
          <w:rFonts w:eastAsia="Times New Roman" w:cs="Courier New"/>
        </w:rPr>
        <w:t>time expenses related to closure</w:t>
      </w:r>
    </w:p>
    <w:p w:rsidR="007A52AB" w:rsidRDefault="007A52AB" w:rsidP="007A52AB">
      <w:pPr>
        <w:pStyle w:val="ListParagraph"/>
        <w:numPr>
          <w:ilvl w:val="0"/>
          <w:numId w:val="6"/>
        </w:numPr>
        <w:rPr>
          <w:rFonts w:eastAsia="Times New Roman" w:cs="Courier New"/>
        </w:rPr>
      </w:pPr>
      <w:r>
        <w:rPr>
          <w:rFonts w:eastAsia="Times New Roman" w:cs="Courier New"/>
        </w:rPr>
        <w:t>PLS Asbestos Abatement: $375,819</w:t>
      </w:r>
    </w:p>
    <w:p w:rsidR="007A52AB" w:rsidRDefault="007A52AB" w:rsidP="007A52AB">
      <w:pPr>
        <w:pStyle w:val="ListParagraph"/>
        <w:numPr>
          <w:ilvl w:val="0"/>
          <w:numId w:val="6"/>
        </w:numPr>
        <w:rPr>
          <w:rFonts w:eastAsia="Times New Roman" w:cs="Courier New"/>
        </w:rPr>
      </w:pPr>
      <w:r>
        <w:rPr>
          <w:rFonts w:eastAsia="Times New Roman" w:cs="Courier New"/>
        </w:rPr>
        <w:t>PLS Demolition: $655,000</w:t>
      </w:r>
    </w:p>
    <w:p w:rsidR="007A52AB" w:rsidRDefault="007A52AB" w:rsidP="007A52AB">
      <w:pPr>
        <w:pStyle w:val="ListParagraph"/>
        <w:numPr>
          <w:ilvl w:val="0"/>
          <w:numId w:val="6"/>
        </w:numPr>
        <w:rPr>
          <w:rFonts w:eastAsia="Times New Roman" w:cs="Courier New"/>
        </w:rPr>
      </w:pPr>
      <w:r>
        <w:rPr>
          <w:rFonts w:eastAsia="Times New Roman" w:cs="Courier New"/>
        </w:rPr>
        <w:t>PLS Utilities Modification: $498,802</w:t>
      </w:r>
    </w:p>
    <w:p w:rsidR="007A52AB" w:rsidRDefault="007A52AB" w:rsidP="007A52AB">
      <w:pPr>
        <w:pStyle w:val="ListParagraph"/>
        <w:numPr>
          <w:ilvl w:val="0"/>
          <w:numId w:val="6"/>
        </w:numPr>
        <w:rPr>
          <w:rFonts w:eastAsia="Times New Roman" w:cs="Courier New"/>
        </w:rPr>
      </w:pPr>
      <w:r>
        <w:rPr>
          <w:rFonts w:eastAsia="Times New Roman" w:cs="Courier New"/>
        </w:rPr>
        <w:t>Child Development Center Renovation: $708,259</w:t>
      </w:r>
    </w:p>
    <w:p w:rsidR="007A52AB" w:rsidRDefault="005D3486" w:rsidP="007A52AB">
      <w:pPr>
        <w:pStyle w:val="ListParagraph"/>
        <w:numPr>
          <w:ilvl w:val="0"/>
          <w:numId w:val="6"/>
        </w:numPr>
        <w:rPr>
          <w:rFonts w:eastAsia="Times New Roman" w:cs="Courier New"/>
        </w:rPr>
      </w:pPr>
      <w:r>
        <w:rPr>
          <w:rFonts w:eastAsia="Times New Roman" w:cs="Courier New"/>
        </w:rPr>
        <w:t>Upgrades performed</w:t>
      </w:r>
      <w:r w:rsidR="007A52AB">
        <w:rPr>
          <w:rFonts w:eastAsia="Times New Roman" w:cs="Courier New"/>
        </w:rPr>
        <w:t xml:space="preserve"> in final year (fire code, carpeting, electrical): $330,000</w:t>
      </w:r>
    </w:p>
    <w:p w:rsidR="007A52AB" w:rsidRDefault="007A52AB" w:rsidP="007A52AB">
      <w:pPr>
        <w:ind w:left="720"/>
        <w:rPr>
          <w:rFonts w:eastAsia="Times New Roman" w:cs="Courier New"/>
        </w:rPr>
      </w:pPr>
      <w:r>
        <w:rPr>
          <w:rFonts w:eastAsia="Times New Roman" w:cs="Courier New"/>
        </w:rPr>
        <w:t>Total: $2,567,880</w:t>
      </w:r>
    </w:p>
    <w:p w:rsidR="007A52AB" w:rsidRDefault="007A52AB" w:rsidP="007A52AB">
      <w:pPr>
        <w:pStyle w:val="ListParagraph"/>
        <w:numPr>
          <w:ilvl w:val="0"/>
          <w:numId w:val="4"/>
        </w:numPr>
        <w:rPr>
          <w:rFonts w:eastAsia="Times New Roman" w:cs="Courier New"/>
        </w:rPr>
      </w:pPr>
      <w:r>
        <w:rPr>
          <w:rFonts w:eastAsia="Times New Roman" w:cs="Courier New"/>
        </w:rPr>
        <w:t>Annual savings</w:t>
      </w:r>
    </w:p>
    <w:p w:rsidR="00F44A99" w:rsidRDefault="00F44A99" w:rsidP="007A52AB">
      <w:pPr>
        <w:pStyle w:val="ListParagraph"/>
        <w:numPr>
          <w:ilvl w:val="0"/>
          <w:numId w:val="7"/>
        </w:numPr>
        <w:rPr>
          <w:rFonts w:eastAsia="Times New Roman" w:cs="Courier New"/>
        </w:rPr>
      </w:pPr>
      <w:r>
        <w:rPr>
          <w:rFonts w:eastAsia="Times New Roman" w:cs="Courier New"/>
        </w:rPr>
        <w:t>MPLS Gen Fund Budget: $3,107,367</w:t>
      </w:r>
    </w:p>
    <w:p w:rsidR="00F44A99" w:rsidRDefault="00F44A99" w:rsidP="007A52AB">
      <w:pPr>
        <w:pStyle w:val="ListParagraph"/>
        <w:numPr>
          <w:ilvl w:val="0"/>
          <w:numId w:val="7"/>
        </w:numPr>
        <w:rPr>
          <w:rFonts w:eastAsia="Times New Roman" w:cs="Courier New"/>
        </w:rPr>
      </w:pPr>
      <w:r>
        <w:rPr>
          <w:rFonts w:eastAsia="Times New Roman" w:cs="Courier New"/>
        </w:rPr>
        <w:t>Transfer to COE: $-2,140,200 (staff transferred to COE from MPLS)</w:t>
      </w:r>
    </w:p>
    <w:p w:rsidR="00F44A99" w:rsidRDefault="00F44A99" w:rsidP="007A52AB">
      <w:pPr>
        <w:pStyle w:val="ListParagraph"/>
        <w:numPr>
          <w:ilvl w:val="0"/>
          <w:numId w:val="7"/>
        </w:numPr>
        <w:rPr>
          <w:rFonts w:eastAsia="Times New Roman" w:cs="Courier New"/>
        </w:rPr>
      </w:pPr>
      <w:r>
        <w:rPr>
          <w:rFonts w:eastAsia="Times New Roman" w:cs="Courier New"/>
        </w:rPr>
        <w:t>Transfer to CET: $-300,000 (covers many of the needs of UNI after closure of MPLS)</w:t>
      </w:r>
    </w:p>
    <w:p w:rsidR="007A52AB" w:rsidRDefault="007A52AB" w:rsidP="007A52AB">
      <w:pPr>
        <w:pStyle w:val="ListParagraph"/>
        <w:numPr>
          <w:ilvl w:val="0"/>
          <w:numId w:val="7"/>
        </w:numPr>
        <w:rPr>
          <w:rFonts w:eastAsia="Times New Roman" w:cs="Courier New"/>
        </w:rPr>
      </w:pPr>
      <w:r>
        <w:rPr>
          <w:rFonts w:eastAsia="Times New Roman" w:cs="Courier New"/>
        </w:rPr>
        <w:t>Expected annual savings reported by administration: $</w:t>
      </w:r>
      <w:r w:rsidR="00F44A99">
        <w:rPr>
          <w:rFonts w:eastAsia="Times New Roman" w:cs="Courier New"/>
        </w:rPr>
        <w:t>667,167</w:t>
      </w:r>
    </w:p>
    <w:p w:rsidR="007A52AB" w:rsidRDefault="007A52AB" w:rsidP="007A52AB">
      <w:pPr>
        <w:pStyle w:val="ListParagraph"/>
        <w:numPr>
          <w:ilvl w:val="0"/>
          <w:numId w:val="7"/>
        </w:numPr>
        <w:rPr>
          <w:rFonts w:eastAsia="Times New Roman" w:cs="Courier New"/>
        </w:rPr>
      </w:pPr>
      <w:r>
        <w:rPr>
          <w:rFonts w:eastAsia="Times New Roman" w:cs="Courier New"/>
        </w:rPr>
        <w:t>Lost revenue from state per-pupil funding: -$2,035,000</w:t>
      </w:r>
    </w:p>
    <w:p w:rsidR="00BB7269" w:rsidRDefault="00BB7269" w:rsidP="00BB7269">
      <w:pPr>
        <w:pStyle w:val="ListParagraph"/>
        <w:ind w:left="1080"/>
        <w:rPr>
          <w:rFonts w:eastAsia="Times New Roman" w:cs="Courier New"/>
        </w:rPr>
      </w:pPr>
    </w:p>
    <w:p w:rsidR="004B2943" w:rsidRDefault="004B2943" w:rsidP="004B2943">
      <w:pPr>
        <w:pStyle w:val="ListParagraph"/>
        <w:numPr>
          <w:ilvl w:val="0"/>
          <w:numId w:val="4"/>
        </w:numPr>
        <w:rPr>
          <w:rFonts w:eastAsia="Times New Roman" w:cs="Courier New"/>
        </w:rPr>
      </w:pPr>
      <w:r>
        <w:rPr>
          <w:rFonts w:eastAsia="Times New Roman" w:cs="Courier New"/>
        </w:rPr>
        <w:t>NET GEF Support (Final Year)</w:t>
      </w:r>
    </w:p>
    <w:p w:rsidR="004B2943" w:rsidRDefault="004B2943" w:rsidP="004B2943">
      <w:pPr>
        <w:pStyle w:val="ListParagraph"/>
        <w:numPr>
          <w:ilvl w:val="0"/>
          <w:numId w:val="8"/>
        </w:numPr>
        <w:rPr>
          <w:rFonts w:eastAsia="Times New Roman" w:cs="Courier New"/>
        </w:rPr>
      </w:pPr>
      <w:r>
        <w:rPr>
          <w:rFonts w:eastAsia="Times New Roman" w:cs="Courier New"/>
        </w:rPr>
        <w:t>GEF Support: $3,281,001</w:t>
      </w:r>
    </w:p>
    <w:p w:rsidR="004B2943" w:rsidRDefault="004B2943" w:rsidP="004B2943">
      <w:pPr>
        <w:pStyle w:val="ListParagraph"/>
        <w:numPr>
          <w:ilvl w:val="0"/>
          <w:numId w:val="8"/>
        </w:numPr>
        <w:rPr>
          <w:rFonts w:eastAsia="Times New Roman" w:cs="Courier New"/>
        </w:rPr>
      </w:pPr>
      <w:r>
        <w:rPr>
          <w:rFonts w:eastAsia="Times New Roman" w:cs="Courier New"/>
        </w:rPr>
        <w:t>State per-pupil Support: $2.035,518</w:t>
      </w:r>
    </w:p>
    <w:p w:rsidR="004B2943" w:rsidRDefault="004B2943" w:rsidP="004B2943">
      <w:pPr>
        <w:pStyle w:val="ListParagraph"/>
        <w:numPr>
          <w:ilvl w:val="0"/>
          <w:numId w:val="8"/>
        </w:numPr>
        <w:rPr>
          <w:rFonts w:eastAsia="Times New Roman" w:cs="Courier New"/>
        </w:rPr>
      </w:pPr>
      <w:r>
        <w:rPr>
          <w:rFonts w:eastAsia="Times New Roman" w:cs="Courier New"/>
        </w:rPr>
        <w:t>Other Revenue: $174,865</w:t>
      </w:r>
    </w:p>
    <w:p w:rsidR="004B2943" w:rsidRDefault="004B2943" w:rsidP="004B2943">
      <w:pPr>
        <w:pStyle w:val="ListParagraph"/>
        <w:numPr>
          <w:ilvl w:val="0"/>
          <w:numId w:val="8"/>
        </w:numPr>
        <w:rPr>
          <w:rFonts w:eastAsia="Times New Roman" w:cs="Courier New"/>
        </w:rPr>
      </w:pPr>
      <w:r>
        <w:rPr>
          <w:rFonts w:eastAsia="Times New Roman" w:cs="Courier New"/>
        </w:rPr>
        <w:t>Total Expenses: $4,997,032</w:t>
      </w:r>
    </w:p>
    <w:p w:rsidR="00BB7269" w:rsidRDefault="00BB7269" w:rsidP="00BB7269">
      <w:pPr>
        <w:pStyle w:val="ListParagraph"/>
        <w:numPr>
          <w:ilvl w:val="0"/>
          <w:numId w:val="8"/>
        </w:numPr>
        <w:rPr>
          <w:rFonts w:eastAsia="Times New Roman" w:cs="Courier New"/>
        </w:rPr>
      </w:pPr>
      <w:r>
        <w:rPr>
          <w:rFonts w:eastAsia="Times New Roman" w:cs="Courier New"/>
        </w:rPr>
        <w:t>Net revenues of MPLS in year of closure (not including utilities costs): $493,341</w:t>
      </w:r>
    </w:p>
    <w:p w:rsidR="00BB7269" w:rsidRPr="00BB7269" w:rsidRDefault="005D3486" w:rsidP="00BB7269">
      <w:pPr>
        <w:rPr>
          <w:rFonts w:eastAsia="Times New Roman" w:cs="Courier New"/>
        </w:rPr>
      </w:pPr>
      <w:r>
        <w:rPr>
          <w:rFonts w:eastAsia="Times New Roman" w:cs="Courier New"/>
        </w:rPr>
        <w:t>Net annual savings from MPLS closure (not including utilities): $173,867</w:t>
      </w:r>
    </w:p>
    <w:p w:rsidR="004B2943" w:rsidRPr="004B2943" w:rsidRDefault="004B2943" w:rsidP="004B2943">
      <w:pPr>
        <w:rPr>
          <w:rFonts w:eastAsia="Times New Roman" w:cs="Courier New"/>
        </w:rPr>
      </w:pPr>
      <w:r>
        <w:rPr>
          <w:rFonts w:eastAsia="Times New Roman" w:cs="Courier New"/>
        </w:rPr>
        <w:t xml:space="preserve">The closure of MPLS and CDC renovation cost UNI $2.57M in one-time expenses. As </w:t>
      </w:r>
      <w:r w:rsidR="0087380E">
        <w:rPr>
          <w:rFonts w:eastAsia="Times New Roman" w:cs="Courier New"/>
        </w:rPr>
        <w:t xml:space="preserve">most </w:t>
      </w:r>
      <w:r>
        <w:rPr>
          <w:rFonts w:eastAsia="Times New Roman" w:cs="Courier New"/>
        </w:rPr>
        <w:t xml:space="preserve">employees were </w:t>
      </w:r>
      <w:r w:rsidR="0087380E">
        <w:rPr>
          <w:rFonts w:eastAsia="Times New Roman" w:cs="Courier New"/>
        </w:rPr>
        <w:t xml:space="preserve">retained after </w:t>
      </w:r>
      <w:r>
        <w:rPr>
          <w:rFonts w:eastAsia="Times New Roman" w:cs="Courier New"/>
        </w:rPr>
        <w:t xml:space="preserve">the closure, most of the cost savings were due to building and maintenance costs. Administration reported the savings to the senate to be </w:t>
      </w:r>
      <w:r w:rsidR="0087380E">
        <w:rPr>
          <w:rFonts w:eastAsia="Times New Roman" w:cs="Courier New"/>
        </w:rPr>
        <w:t>$667,167</w:t>
      </w:r>
      <w:r>
        <w:rPr>
          <w:rFonts w:eastAsia="Times New Roman" w:cs="Courier New"/>
        </w:rPr>
        <w:t>, however this did not include state per-pupil funding which brought in an additional $2M in revenue</w:t>
      </w:r>
      <w:r w:rsidR="0099794C">
        <w:rPr>
          <w:rFonts w:eastAsia="Times New Roman" w:cs="Courier New"/>
        </w:rPr>
        <w:t xml:space="preserve"> ($5,800 per pup</w:t>
      </w:r>
      <w:r w:rsidR="005D3486">
        <w:rPr>
          <w:rFonts w:eastAsia="Times New Roman" w:cs="Courier New"/>
        </w:rPr>
        <w:t>i</w:t>
      </w:r>
      <w:r w:rsidR="0099794C">
        <w:rPr>
          <w:rFonts w:eastAsia="Times New Roman" w:cs="Courier New"/>
        </w:rPr>
        <w:t>l)</w:t>
      </w:r>
      <w:r>
        <w:rPr>
          <w:rFonts w:eastAsia="Times New Roman" w:cs="Courier New"/>
        </w:rPr>
        <w:t xml:space="preserve">. Therefore, the closure of the lab school resulted in net </w:t>
      </w:r>
      <w:r w:rsidR="005D3486">
        <w:rPr>
          <w:rFonts w:eastAsia="Times New Roman" w:cs="Courier New"/>
        </w:rPr>
        <w:t xml:space="preserve">savings of </w:t>
      </w:r>
      <w:r w:rsidR="00695BA1">
        <w:rPr>
          <w:rFonts w:eastAsia="Times New Roman" w:cs="Courier New"/>
        </w:rPr>
        <w:t>approximately</w:t>
      </w:r>
      <w:r w:rsidR="005D3486">
        <w:rPr>
          <w:rFonts w:eastAsia="Times New Roman" w:cs="Courier New"/>
        </w:rPr>
        <w:t xml:space="preserve"> $200k </w:t>
      </w:r>
      <w:r>
        <w:rPr>
          <w:rFonts w:eastAsia="Times New Roman" w:cs="Courier New"/>
        </w:rPr>
        <w:t>for UNI.</w:t>
      </w:r>
      <w:r w:rsidR="005D3486">
        <w:rPr>
          <w:rFonts w:eastAsia="Times New Roman" w:cs="Courier New"/>
        </w:rPr>
        <w:t xml:space="preserve"> The state per-pupil funding was contingent upon a total enrollment of 346 students, which may have fallen </w:t>
      </w:r>
      <w:r w:rsidR="00E105CC">
        <w:rPr>
          <w:rFonts w:eastAsia="Times New Roman" w:cs="Courier New"/>
        </w:rPr>
        <w:t xml:space="preserve">as area school districts competed for students in an attempt to secure their own state funding. Any real savings to the university would have come from </w:t>
      </w:r>
      <w:r w:rsidR="00945628">
        <w:rPr>
          <w:rFonts w:eastAsia="Times New Roman" w:cs="Courier New"/>
        </w:rPr>
        <w:t xml:space="preserve">millions of dollars of </w:t>
      </w:r>
      <w:r w:rsidR="00E105CC">
        <w:rPr>
          <w:rFonts w:eastAsia="Times New Roman" w:cs="Courier New"/>
        </w:rPr>
        <w:t>deferred maintenance costs and/or construction cost for a new building. Another factor for consideration is the impact of the school’s closure on enrollment</w:t>
      </w:r>
      <w:r w:rsidR="0033318E">
        <w:rPr>
          <w:rFonts w:eastAsia="Times New Roman" w:cs="Courier New"/>
        </w:rPr>
        <w:t xml:space="preserve">. In the year following the closure, which coincided with a significant number of program cuts as well, enrollment </w:t>
      </w:r>
      <w:r w:rsidR="00E105CC">
        <w:rPr>
          <w:rFonts w:eastAsia="Times New Roman" w:cs="Courier New"/>
        </w:rPr>
        <w:t xml:space="preserve">declined </w:t>
      </w:r>
      <w:r w:rsidR="0033318E">
        <w:rPr>
          <w:rFonts w:eastAsia="Times New Roman" w:cs="Courier New"/>
        </w:rPr>
        <w:t>significantly</w:t>
      </w:r>
      <w:r w:rsidR="00E105CC">
        <w:rPr>
          <w:rFonts w:eastAsia="Times New Roman" w:cs="Courier New"/>
        </w:rPr>
        <w:t xml:space="preserve">. </w:t>
      </w:r>
      <w:r w:rsidR="0033318E">
        <w:rPr>
          <w:rFonts w:eastAsia="Times New Roman" w:cs="Courier New"/>
        </w:rPr>
        <w:t>While it is not possible to determine exactly what effect the clos</w:t>
      </w:r>
      <w:r w:rsidR="007C0C83">
        <w:rPr>
          <w:rFonts w:eastAsia="Times New Roman" w:cs="Courier New"/>
        </w:rPr>
        <w:t xml:space="preserve">ure of MPLS had on enrollment, there appears to at least be a correlation in the enrollment decline with negative publicity associated with closing MPLS. </w:t>
      </w:r>
      <w:r w:rsidR="00945628">
        <w:rPr>
          <w:rFonts w:eastAsia="Times New Roman" w:cs="Courier New"/>
        </w:rPr>
        <w:t xml:space="preserve">It is difficult to determine </w:t>
      </w:r>
      <w:r w:rsidR="007C0C83">
        <w:rPr>
          <w:rFonts w:eastAsia="Times New Roman" w:cs="Courier New"/>
        </w:rPr>
        <w:t xml:space="preserve">whether there were </w:t>
      </w:r>
      <w:r w:rsidR="00945628">
        <w:rPr>
          <w:rFonts w:eastAsia="Times New Roman" w:cs="Courier New"/>
        </w:rPr>
        <w:t xml:space="preserve">true cost savings from this </w:t>
      </w:r>
      <w:r w:rsidR="00F05E9C">
        <w:rPr>
          <w:rFonts w:eastAsia="Times New Roman" w:cs="Courier New"/>
        </w:rPr>
        <w:t>closure</w:t>
      </w:r>
      <w:r w:rsidR="00945628">
        <w:rPr>
          <w:rFonts w:eastAsia="Times New Roman" w:cs="Courier New"/>
        </w:rPr>
        <w:t xml:space="preserve"> and </w:t>
      </w:r>
      <w:r w:rsidR="00695BA1">
        <w:rPr>
          <w:rFonts w:eastAsia="Times New Roman" w:cs="Courier New"/>
        </w:rPr>
        <w:t xml:space="preserve">in examining the overall outcome </w:t>
      </w:r>
      <w:r w:rsidR="00945628">
        <w:rPr>
          <w:rFonts w:eastAsia="Times New Roman" w:cs="Courier New"/>
        </w:rPr>
        <w:t>appears to represent a reallocation of resources rather than a</w:t>
      </w:r>
      <w:r w:rsidR="00695BA1">
        <w:rPr>
          <w:rFonts w:eastAsia="Times New Roman" w:cs="Courier New"/>
        </w:rPr>
        <w:t xml:space="preserve"> truly effective</w:t>
      </w:r>
      <w:r w:rsidR="00945628">
        <w:rPr>
          <w:rFonts w:eastAsia="Times New Roman" w:cs="Courier New"/>
        </w:rPr>
        <w:t xml:space="preserve"> cost savings measure.</w:t>
      </w:r>
    </w:p>
    <w:p w:rsidR="00DE163F" w:rsidRPr="00194849" w:rsidRDefault="00DE163F"/>
    <w:p w:rsidR="00F55C12" w:rsidRDefault="00F55C12">
      <w:r>
        <w:br w:type="page"/>
      </w:r>
    </w:p>
    <w:p w:rsidR="00DE163F" w:rsidRDefault="00F55C12">
      <w:r>
        <w:lastRenderedPageBreak/>
        <w:t>VII. Impact of Closures / Program Cuts on Enrollment and Donations</w:t>
      </w:r>
    </w:p>
    <w:p w:rsidR="00F55C12" w:rsidRDefault="00F55C12" w:rsidP="00F55C12">
      <w:pPr>
        <w:jc w:val="center"/>
      </w:pPr>
      <w:r>
        <w:rPr>
          <w:noProof/>
        </w:rPr>
        <w:drawing>
          <wp:inline distT="0" distB="0" distL="0" distR="0" wp14:anchorId="177FA9F2" wp14:editId="17A7671B">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55C12" w:rsidRDefault="00F55C12">
      <w:r>
        <w:t>The</w:t>
      </w:r>
      <w:r w:rsidR="005C30B9">
        <w:t xml:space="preserve"> </w:t>
      </w:r>
      <w:r>
        <w:t xml:space="preserve">numbers </w:t>
      </w:r>
      <w:r w:rsidR="005C30B9">
        <w:t xml:space="preserve">are taken </w:t>
      </w:r>
      <w:r>
        <w:t xml:space="preserve">from </w:t>
      </w:r>
      <w:proofErr w:type="gramStart"/>
      <w:r>
        <w:t>Fall</w:t>
      </w:r>
      <w:proofErr w:type="gramEnd"/>
      <w:r>
        <w:t xml:space="preserve"> enrollments. Baseball was cut in 2009 – so its impact would be seen in the 2009 enrollment data. Program cuts and MPLS closure occurred in 2012, </w:t>
      </w:r>
      <w:r w:rsidR="00623060">
        <w:t xml:space="preserve">and </w:t>
      </w:r>
      <w:r>
        <w:t>its impact can be seen in the incoming undergraduate class of 2012 and associated effects on overall enrollment from 2012 onwards.</w:t>
      </w:r>
    </w:p>
    <w:p w:rsidR="00F55C12" w:rsidRDefault="00F55C12" w:rsidP="00F55C12">
      <w:pPr>
        <w:jc w:val="center"/>
      </w:pPr>
      <w:r>
        <w:rPr>
          <w:noProof/>
        </w:rPr>
        <w:drawing>
          <wp:inline distT="0" distB="0" distL="0" distR="0" wp14:anchorId="0C2B4783" wp14:editId="736311C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55C12" w:rsidRPr="00194849" w:rsidRDefault="00F55C12" w:rsidP="00F55C12">
      <w:r>
        <w:t xml:space="preserve">No direct impact can be seen in donations to the UNI foundation from either the closure of baseball in 2009 or the MPLS/program closures in 2012. Donations can vary significantly in individual years </w:t>
      </w:r>
      <w:r w:rsidR="00623060">
        <w:t xml:space="preserve">from individual large scale donations and external events in the economy </w:t>
      </w:r>
      <w:r>
        <w:t xml:space="preserve">so trends are difficult to establish. </w:t>
      </w:r>
    </w:p>
    <w:sectPr w:rsidR="00F55C12" w:rsidRPr="0019484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60A" w:rsidRDefault="0045460A" w:rsidP="0009277E">
      <w:pPr>
        <w:spacing w:after="0" w:line="240" w:lineRule="auto"/>
      </w:pPr>
      <w:r>
        <w:separator/>
      </w:r>
    </w:p>
  </w:endnote>
  <w:endnote w:type="continuationSeparator" w:id="0">
    <w:p w:rsidR="0045460A" w:rsidRDefault="0045460A" w:rsidP="0009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8E" w:rsidRDefault="003331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210603"/>
      <w:docPartObj>
        <w:docPartGallery w:val="Page Numbers (Bottom of Page)"/>
        <w:docPartUnique/>
      </w:docPartObj>
    </w:sdtPr>
    <w:sdtEndPr/>
    <w:sdtContent>
      <w:sdt>
        <w:sdtPr>
          <w:id w:val="1728636285"/>
          <w:docPartObj>
            <w:docPartGallery w:val="Page Numbers (Top of Page)"/>
            <w:docPartUnique/>
          </w:docPartObj>
        </w:sdtPr>
        <w:sdtEndPr/>
        <w:sdtContent>
          <w:p w:rsidR="0033318E" w:rsidRDefault="0033318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85319">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5319">
              <w:rPr>
                <w:b/>
                <w:bCs/>
                <w:noProof/>
              </w:rPr>
              <w:t>16</w:t>
            </w:r>
            <w:r>
              <w:rPr>
                <w:b/>
                <w:bCs/>
                <w:sz w:val="24"/>
                <w:szCs w:val="24"/>
              </w:rPr>
              <w:fldChar w:fldCharType="end"/>
            </w:r>
          </w:p>
        </w:sdtContent>
      </w:sdt>
    </w:sdtContent>
  </w:sdt>
  <w:p w:rsidR="0033318E" w:rsidRDefault="003331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8E" w:rsidRDefault="00333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60A" w:rsidRDefault="0045460A" w:rsidP="0009277E">
      <w:pPr>
        <w:spacing w:after="0" w:line="240" w:lineRule="auto"/>
      </w:pPr>
      <w:r>
        <w:separator/>
      </w:r>
    </w:p>
  </w:footnote>
  <w:footnote w:type="continuationSeparator" w:id="0">
    <w:p w:rsidR="0045460A" w:rsidRDefault="0045460A" w:rsidP="00092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8E" w:rsidRDefault="003331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8E" w:rsidRDefault="003331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8E" w:rsidRDefault="003331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3BB2"/>
    <w:multiLevelType w:val="hybridMultilevel"/>
    <w:tmpl w:val="006CA186"/>
    <w:lvl w:ilvl="0" w:tplc="49D86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894CF5"/>
    <w:multiLevelType w:val="hybridMultilevel"/>
    <w:tmpl w:val="C804F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313F0"/>
    <w:multiLevelType w:val="hybridMultilevel"/>
    <w:tmpl w:val="E0D02BD6"/>
    <w:lvl w:ilvl="0" w:tplc="2820D3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A1A09"/>
    <w:multiLevelType w:val="hybridMultilevel"/>
    <w:tmpl w:val="0E4E1632"/>
    <w:lvl w:ilvl="0" w:tplc="6180D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2A12D5"/>
    <w:multiLevelType w:val="hybridMultilevel"/>
    <w:tmpl w:val="9FACFF7C"/>
    <w:lvl w:ilvl="0" w:tplc="D3002C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886E8B"/>
    <w:multiLevelType w:val="hybridMultilevel"/>
    <w:tmpl w:val="908A6CEC"/>
    <w:lvl w:ilvl="0" w:tplc="CB5C3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DD605C"/>
    <w:multiLevelType w:val="hybridMultilevel"/>
    <w:tmpl w:val="5170CB7C"/>
    <w:lvl w:ilvl="0" w:tplc="11101492">
      <w:start w:val="1"/>
      <w:numFmt w:val="upperLetter"/>
      <w:lvlText w:val="%1."/>
      <w:lvlJc w:val="left"/>
      <w:pPr>
        <w:ind w:left="720" w:hanging="360"/>
      </w:pPr>
      <w:rPr>
        <w:rFonts w:asciiTheme="minorHAnsi" w:eastAsia="Times New Roman" w:hAnsiTheme="minorHAnsi" w:cs="Courier New"/>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0B0585"/>
    <w:multiLevelType w:val="hybridMultilevel"/>
    <w:tmpl w:val="7A3CD810"/>
    <w:lvl w:ilvl="0" w:tplc="06181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6"/>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22C"/>
    <w:rsid w:val="0002415A"/>
    <w:rsid w:val="0002540F"/>
    <w:rsid w:val="000301F5"/>
    <w:rsid w:val="00031ECE"/>
    <w:rsid w:val="0009277E"/>
    <w:rsid w:val="000A4F05"/>
    <w:rsid w:val="000B2A7C"/>
    <w:rsid w:val="000C5173"/>
    <w:rsid w:val="000C61F4"/>
    <w:rsid w:val="000E6D02"/>
    <w:rsid w:val="000E747A"/>
    <w:rsid w:val="000F42C6"/>
    <w:rsid w:val="00131B12"/>
    <w:rsid w:val="00144E4D"/>
    <w:rsid w:val="001718D1"/>
    <w:rsid w:val="00173498"/>
    <w:rsid w:val="00194849"/>
    <w:rsid w:val="001B78ED"/>
    <w:rsid w:val="001E2AD2"/>
    <w:rsid w:val="001E6C7F"/>
    <w:rsid w:val="00215A8E"/>
    <w:rsid w:val="002248EA"/>
    <w:rsid w:val="002A4CBA"/>
    <w:rsid w:val="002C407D"/>
    <w:rsid w:val="002D31CD"/>
    <w:rsid w:val="0033318E"/>
    <w:rsid w:val="003B1C96"/>
    <w:rsid w:val="003B6A5E"/>
    <w:rsid w:val="003E45FA"/>
    <w:rsid w:val="00434B1E"/>
    <w:rsid w:val="0045460A"/>
    <w:rsid w:val="00463E0F"/>
    <w:rsid w:val="00472DF7"/>
    <w:rsid w:val="004A042A"/>
    <w:rsid w:val="004A3412"/>
    <w:rsid w:val="004A3AA1"/>
    <w:rsid w:val="004B2943"/>
    <w:rsid w:val="004F628F"/>
    <w:rsid w:val="005040DA"/>
    <w:rsid w:val="005163D9"/>
    <w:rsid w:val="00560350"/>
    <w:rsid w:val="005800A6"/>
    <w:rsid w:val="00587B4B"/>
    <w:rsid w:val="005902E4"/>
    <w:rsid w:val="00596465"/>
    <w:rsid w:val="005C30B9"/>
    <w:rsid w:val="005D3486"/>
    <w:rsid w:val="00623060"/>
    <w:rsid w:val="00625B16"/>
    <w:rsid w:val="0062796E"/>
    <w:rsid w:val="00633F9C"/>
    <w:rsid w:val="00645D12"/>
    <w:rsid w:val="006467D0"/>
    <w:rsid w:val="00695BA1"/>
    <w:rsid w:val="0069782A"/>
    <w:rsid w:val="006F6415"/>
    <w:rsid w:val="00737F3F"/>
    <w:rsid w:val="0075164E"/>
    <w:rsid w:val="007A0619"/>
    <w:rsid w:val="007A52AB"/>
    <w:rsid w:val="007C0C83"/>
    <w:rsid w:val="007D7D2E"/>
    <w:rsid w:val="007E1489"/>
    <w:rsid w:val="007E1D51"/>
    <w:rsid w:val="0080429B"/>
    <w:rsid w:val="00860039"/>
    <w:rsid w:val="0087380E"/>
    <w:rsid w:val="008748C8"/>
    <w:rsid w:val="0088422C"/>
    <w:rsid w:val="008B4D2F"/>
    <w:rsid w:val="008D73FE"/>
    <w:rsid w:val="009151F1"/>
    <w:rsid w:val="00945628"/>
    <w:rsid w:val="0099794C"/>
    <w:rsid w:val="009F2D25"/>
    <w:rsid w:val="00A37AFB"/>
    <w:rsid w:val="00A53976"/>
    <w:rsid w:val="00A96197"/>
    <w:rsid w:val="00AD3D45"/>
    <w:rsid w:val="00B15F1B"/>
    <w:rsid w:val="00B20775"/>
    <w:rsid w:val="00B237CD"/>
    <w:rsid w:val="00B24F61"/>
    <w:rsid w:val="00B90EDC"/>
    <w:rsid w:val="00BB1BA5"/>
    <w:rsid w:val="00BB3F05"/>
    <w:rsid w:val="00BB7269"/>
    <w:rsid w:val="00BF242B"/>
    <w:rsid w:val="00C063D4"/>
    <w:rsid w:val="00C174C1"/>
    <w:rsid w:val="00C457DB"/>
    <w:rsid w:val="00C75EBF"/>
    <w:rsid w:val="00C76D7B"/>
    <w:rsid w:val="00CA1FD5"/>
    <w:rsid w:val="00CC2FA4"/>
    <w:rsid w:val="00CD0BD8"/>
    <w:rsid w:val="00D10BDD"/>
    <w:rsid w:val="00D15062"/>
    <w:rsid w:val="00D8339E"/>
    <w:rsid w:val="00D85319"/>
    <w:rsid w:val="00D94CDC"/>
    <w:rsid w:val="00DE163F"/>
    <w:rsid w:val="00DF1D3D"/>
    <w:rsid w:val="00E05CEB"/>
    <w:rsid w:val="00E105CC"/>
    <w:rsid w:val="00E6497F"/>
    <w:rsid w:val="00E671F9"/>
    <w:rsid w:val="00EF58D5"/>
    <w:rsid w:val="00F05E9C"/>
    <w:rsid w:val="00F44A99"/>
    <w:rsid w:val="00F50626"/>
    <w:rsid w:val="00F55C12"/>
    <w:rsid w:val="00F656FE"/>
    <w:rsid w:val="00F77216"/>
    <w:rsid w:val="00FD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163F"/>
    <w:rPr>
      <w:rFonts w:ascii="Courier New" w:eastAsia="Times New Roman" w:hAnsi="Courier New" w:cs="Courier New"/>
      <w:sz w:val="20"/>
      <w:szCs w:val="20"/>
    </w:rPr>
  </w:style>
  <w:style w:type="paragraph" w:styleId="ListParagraph">
    <w:name w:val="List Paragraph"/>
    <w:basedOn w:val="Normal"/>
    <w:uiPriority w:val="34"/>
    <w:qFormat/>
    <w:rsid w:val="00DE163F"/>
    <w:pPr>
      <w:ind w:left="720"/>
      <w:contextualSpacing/>
    </w:pPr>
  </w:style>
  <w:style w:type="table" w:styleId="TableGrid">
    <w:name w:val="Table Grid"/>
    <w:basedOn w:val="TableNormal"/>
    <w:uiPriority w:val="39"/>
    <w:rsid w:val="004A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E6C7F"/>
    <w:rPr>
      <w:b/>
      <w:bCs/>
    </w:rPr>
  </w:style>
  <w:style w:type="paragraph" w:styleId="BalloonText">
    <w:name w:val="Balloon Text"/>
    <w:basedOn w:val="Normal"/>
    <w:link w:val="BalloonTextChar"/>
    <w:uiPriority w:val="99"/>
    <w:semiHidden/>
    <w:unhideWhenUsed/>
    <w:rsid w:val="00A96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197"/>
    <w:rPr>
      <w:rFonts w:ascii="Segoe UI" w:hAnsi="Segoe UI" w:cs="Segoe UI"/>
      <w:sz w:val="18"/>
      <w:szCs w:val="18"/>
    </w:rPr>
  </w:style>
  <w:style w:type="paragraph" w:styleId="Header">
    <w:name w:val="header"/>
    <w:basedOn w:val="Normal"/>
    <w:link w:val="HeaderChar"/>
    <w:uiPriority w:val="99"/>
    <w:unhideWhenUsed/>
    <w:rsid w:val="00092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77E"/>
  </w:style>
  <w:style w:type="paragraph" w:styleId="Footer">
    <w:name w:val="footer"/>
    <w:basedOn w:val="Normal"/>
    <w:link w:val="FooterChar"/>
    <w:uiPriority w:val="99"/>
    <w:unhideWhenUsed/>
    <w:rsid w:val="00092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163F"/>
    <w:rPr>
      <w:rFonts w:ascii="Courier New" w:eastAsia="Times New Roman" w:hAnsi="Courier New" w:cs="Courier New"/>
      <w:sz w:val="20"/>
      <w:szCs w:val="20"/>
    </w:rPr>
  </w:style>
  <w:style w:type="paragraph" w:styleId="ListParagraph">
    <w:name w:val="List Paragraph"/>
    <w:basedOn w:val="Normal"/>
    <w:uiPriority w:val="34"/>
    <w:qFormat/>
    <w:rsid w:val="00DE163F"/>
    <w:pPr>
      <w:ind w:left="720"/>
      <w:contextualSpacing/>
    </w:pPr>
  </w:style>
  <w:style w:type="table" w:styleId="TableGrid">
    <w:name w:val="Table Grid"/>
    <w:basedOn w:val="TableNormal"/>
    <w:uiPriority w:val="39"/>
    <w:rsid w:val="004A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E6C7F"/>
    <w:rPr>
      <w:b/>
      <w:bCs/>
    </w:rPr>
  </w:style>
  <w:style w:type="paragraph" w:styleId="BalloonText">
    <w:name w:val="Balloon Text"/>
    <w:basedOn w:val="Normal"/>
    <w:link w:val="BalloonTextChar"/>
    <w:uiPriority w:val="99"/>
    <w:semiHidden/>
    <w:unhideWhenUsed/>
    <w:rsid w:val="00A96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197"/>
    <w:rPr>
      <w:rFonts w:ascii="Segoe UI" w:hAnsi="Segoe UI" w:cs="Segoe UI"/>
      <w:sz w:val="18"/>
      <w:szCs w:val="18"/>
    </w:rPr>
  </w:style>
  <w:style w:type="paragraph" w:styleId="Header">
    <w:name w:val="header"/>
    <w:basedOn w:val="Normal"/>
    <w:link w:val="HeaderChar"/>
    <w:uiPriority w:val="99"/>
    <w:unhideWhenUsed/>
    <w:rsid w:val="00092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77E"/>
  </w:style>
  <w:style w:type="paragraph" w:styleId="Footer">
    <w:name w:val="footer"/>
    <w:basedOn w:val="Normal"/>
    <w:link w:val="FooterChar"/>
    <w:uiPriority w:val="99"/>
    <w:unhideWhenUsed/>
    <w:rsid w:val="00092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81969">
      <w:bodyDiv w:val="1"/>
      <w:marLeft w:val="0"/>
      <w:marRight w:val="0"/>
      <w:marTop w:val="0"/>
      <w:marBottom w:val="0"/>
      <w:divBdr>
        <w:top w:val="none" w:sz="0" w:space="0" w:color="auto"/>
        <w:left w:val="none" w:sz="0" w:space="0" w:color="auto"/>
        <w:bottom w:val="none" w:sz="0" w:space="0" w:color="auto"/>
        <w:right w:val="none" w:sz="0" w:space="0" w:color="auto"/>
      </w:divBdr>
    </w:div>
    <w:div w:id="159660487">
      <w:bodyDiv w:val="1"/>
      <w:marLeft w:val="0"/>
      <w:marRight w:val="0"/>
      <w:marTop w:val="0"/>
      <w:marBottom w:val="0"/>
      <w:divBdr>
        <w:top w:val="none" w:sz="0" w:space="0" w:color="auto"/>
        <w:left w:val="none" w:sz="0" w:space="0" w:color="auto"/>
        <w:bottom w:val="none" w:sz="0" w:space="0" w:color="auto"/>
        <w:right w:val="none" w:sz="0" w:space="0" w:color="auto"/>
      </w:divBdr>
    </w:div>
    <w:div w:id="319428138">
      <w:bodyDiv w:val="1"/>
      <w:marLeft w:val="0"/>
      <w:marRight w:val="0"/>
      <w:marTop w:val="0"/>
      <w:marBottom w:val="0"/>
      <w:divBdr>
        <w:top w:val="none" w:sz="0" w:space="0" w:color="auto"/>
        <w:left w:val="none" w:sz="0" w:space="0" w:color="auto"/>
        <w:bottom w:val="none" w:sz="0" w:space="0" w:color="auto"/>
        <w:right w:val="none" w:sz="0" w:space="0" w:color="auto"/>
      </w:divBdr>
    </w:div>
    <w:div w:id="395475280">
      <w:bodyDiv w:val="1"/>
      <w:marLeft w:val="0"/>
      <w:marRight w:val="0"/>
      <w:marTop w:val="0"/>
      <w:marBottom w:val="0"/>
      <w:divBdr>
        <w:top w:val="none" w:sz="0" w:space="0" w:color="auto"/>
        <w:left w:val="none" w:sz="0" w:space="0" w:color="auto"/>
        <w:bottom w:val="none" w:sz="0" w:space="0" w:color="auto"/>
        <w:right w:val="none" w:sz="0" w:space="0" w:color="auto"/>
      </w:divBdr>
    </w:div>
    <w:div w:id="530152301">
      <w:bodyDiv w:val="1"/>
      <w:marLeft w:val="0"/>
      <w:marRight w:val="0"/>
      <w:marTop w:val="0"/>
      <w:marBottom w:val="0"/>
      <w:divBdr>
        <w:top w:val="none" w:sz="0" w:space="0" w:color="auto"/>
        <w:left w:val="none" w:sz="0" w:space="0" w:color="auto"/>
        <w:bottom w:val="none" w:sz="0" w:space="0" w:color="auto"/>
        <w:right w:val="none" w:sz="0" w:space="0" w:color="auto"/>
      </w:divBdr>
    </w:div>
    <w:div w:id="606892523">
      <w:bodyDiv w:val="1"/>
      <w:marLeft w:val="0"/>
      <w:marRight w:val="0"/>
      <w:marTop w:val="0"/>
      <w:marBottom w:val="0"/>
      <w:divBdr>
        <w:top w:val="none" w:sz="0" w:space="0" w:color="auto"/>
        <w:left w:val="none" w:sz="0" w:space="0" w:color="auto"/>
        <w:bottom w:val="none" w:sz="0" w:space="0" w:color="auto"/>
        <w:right w:val="none" w:sz="0" w:space="0" w:color="auto"/>
      </w:divBdr>
    </w:div>
    <w:div w:id="735934725">
      <w:bodyDiv w:val="1"/>
      <w:marLeft w:val="0"/>
      <w:marRight w:val="0"/>
      <w:marTop w:val="0"/>
      <w:marBottom w:val="0"/>
      <w:divBdr>
        <w:top w:val="none" w:sz="0" w:space="0" w:color="auto"/>
        <w:left w:val="none" w:sz="0" w:space="0" w:color="auto"/>
        <w:bottom w:val="none" w:sz="0" w:space="0" w:color="auto"/>
        <w:right w:val="none" w:sz="0" w:space="0" w:color="auto"/>
      </w:divBdr>
    </w:div>
    <w:div w:id="841971206">
      <w:bodyDiv w:val="1"/>
      <w:marLeft w:val="0"/>
      <w:marRight w:val="0"/>
      <w:marTop w:val="0"/>
      <w:marBottom w:val="0"/>
      <w:divBdr>
        <w:top w:val="none" w:sz="0" w:space="0" w:color="auto"/>
        <w:left w:val="none" w:sz="0" w:space="0" w:color="auto"/>
        <w:bottom w:val="none" w:sz="0" w:space="0" w:color="auto"/>
        <w:right w:val="none" w:sz="0" w:space="0" w:color="auto"/>
      </w:divBdr>
    </w:div>
    <w:div w:id="1011487410">
      <w:bodyDiv w:val="1"/>
      <w:marLeft w:val="0"/>
      <w:marRight w:val="0"/>
      <w:marTop w:val="0"/>
      <w:marBottom w:val="0"/>
      <w:divBdr>
        <w:top w:val="none" w:sz="0" w:space="0" w:color="auto"/>
        <w:left w:val="none" w:sz="0" w:space="0" w:color="auto"/>
        <w:bottom w:val="none" w:sz="0" w:space="0" w:color="auto"/>
        <w:right w:val="none" w:sz="0" w:space="0" w:color="auto"/>
      </w:divBdr>
      <w:divsChild>
        <w:div w:id="640814097">
          <w:marLeft w:val="0"/>
          <w:marRight w:val="0"/>
          <w:marTop w:val="0"/>
          <w:marBottom w:val="0"/>
          <w:divBdr>
            <w:top w:val="none" w:sz="0" w:space="0" w:color="auto"/>
            <w:left w:val="none" w:sz="0" w:space="0" w:color="auto"/>
            <w:bottom w:val="none" w:sz="0" w:space="0" w:color="auto"/>
            <w:right w:val="none" w:sz="0" w:space="0" w:color="auto"/>
          </w:divBdr>
        </w:div>
        <w:div w:id="48653095">
          <w:marLeft w:val="0"/>
          <w:marRight w:val="0"/>
          <w:marTop w:val="0"/>
          <w:marBottom w:val="0"/>
          <w:divBdr>
            <w:top w:val="none" w:sz="0" w:space="0" w:color="auto"/>
            <w:left w:val="none" w:sz="0" w:space="0" w:color="auto"/>
            <w:bottom w:val="none" w:sz="0" w:space="0" w:color="auto"/>
            <w:right w:val="none" w:sz="0" w:space="0" w:color="auto"/>
          </w:divBdr>
        </w:div>
        <w:div w:id="1915240307">
          <w:marLeft w:val="0"/>
          <w:marRight w:val="0"/>
          <w:marTop w:val="0"/>
          <w:marBottom w:val="0"/>
          <w:divBdr>
            <w:top w:val="none" w:sz="0" w:space="0" w:color="auto"/>
            <w:left w:val="none" w:sz="0" w:space="0" w:color="auto"/>
            <w:bottom w:val="none" w:sz="0" w:space="0" w:color="auto"/>
            <w:right w:val="none" w:sz="0" w:space="0" w:color="auto"/>
          </w:divBdr>
        </w:div>
        <w:div w:id="1074278082">
          <w:marLeft w:val="0"/>
          <w:marRight w:val="0"/>
          <w:marTop w:val="0"/>
          <w:marBottom w:val="0"/>
          <w:divBdr>
            <w:top w:val="none" w:sz="0" w:space="0" w:color="auto"/>
            <w:left w:val="none" w:sz="0" w:space="0" w:color="auto"/>
            <w:bottom w:val="none" w:sz="0" w:space="0" w:color="auto"/>
            <w:right w:val="none" w:sz="0" w:space="0" w:color="auto"/>
          </w:divBdr>
        </w:div>
        <w:div w:id="1834836401">
          <w:marLeft w:val="0"/>
          <w:marRight w:val="0"/>
          <w:marTop w:val="0"/>
          <w:marBottom w:val="0"/>
          <w:divBdr>
            <w:top w:val="none" w:sz="0" w:space="0" w:color="auto"/>
            <w:left w:val="none" w:sz="0" w:space="0" w:color="auto"/>
            <w:bottom w:val="none" w:sz="0" w:space="0" w:color="auto"/>
            <w:right w:val="none" w:sz="0" w:space="0" w:color="auto"/>
          </w:divBdr>
        </w:div>
        <w:div w:id="1919971869">
          <w:marLeft w:val="0"/>
          <w:marRight w:val="0"/>
          <w:marTop w:val="0"/>
          <w:marBottom w:val="0"/>
          <w:divBdr>
            <w:top w:val="none" w:sz="0" w:space="0" w:color="auto"/>
            <w:left w:val="none" w:sz="0" w:space="0" w:color="auto"/>
            <w:bottom w:val="none" w:sz="0" w:space="0" w:color="auto"/>
            <w:right w:val="none" w:sz="0" w:space="0" w:color="auto"/>
          </w:divBdr>
        </w:div>
        <w:div w:id="1832870140">
          <w:marLeft w:val="0"/>
          <w:marRight w:val="0"/>
          <w:marTop w:val="0"/>
          <w:marBottom w:val="0"/>
          <w:divBdr>
            <w:top w:val="none" w:sz="0" w:space="0" w:color="auto"/>
            <w:left w:val="none" w:sz="0" w:space="0" w:color="auto"/>
            <w:bottom w:val="none" w:sz="0" w:space="0" w:color="auto"/>
            <w:right w:val="none" w:sz="0" w:space="0" w:color="auto"/>
          </w:divBdr>
        </w:div>
        <w:div w:id="1305238780">
          <w:marLeft w:val="0"/>
          <w:marRight w:val="0"/>
          <w:marTop w:val="0"/>
          <w:marBottom w:val="0"/>
          <w:divBdr>
            <w:top w:val="none" w:sz="0" w:space="0" w:color="auto"/>
            <w:left w:val="none" w:sz="0" w:space="0" w:color="auto"/>
            <w:bottom w:val="none" w:sz="0" w:space="0" w:color="auto"/>
            <w:right w:val="none" w:sz="0" w:space="0" w:color="auto"/>
          </w:divBdr>
        </w:div>
        <w:div w:id="1443574766">
          <w:marLeft w:val="0"/>
          <w:marRight w:val="0"/>
          <w:marTop w:val="0"/>
          <w:marBottom w:val="0"/>
          <w:divBdr>
            <w:top w:val="none" w:sz="0" w:space="0" w:color="auto"/>
            <w:left w:val="none" w:sz="0" w:space="0" w:color="auto"/>
            <w:bottom w:val="none" w:sz="0" w:space="0" w:color="auto"/>
            <w:right w:val="none" w:sz="0" w:space="0" w:color="auto"/>
          </w:divBdr>
        </w:div>
        <w:div w:id="1166089927">
          <w:marLeft w:val="0"/>
          <w:marRight w:val="0"/>
          <w:marTop w:val="0"/>
          <w:marBottom w:val="0"/>
          <w:divBdr>
            <w:top w:val="none" w:sz="0" w:space="0" w:color="auto"/>
            <w:left w:val="none" w:sz="0" w:space="0" w:color="auto"/>
            <w:bottom w:val="none" w:sz="0" w:space="0" w:color="auto"/>
            <w:right w:val="none" w:sz="0" w:space="0" w:color="auto"/>
          </w:divBdr>
        </w:div>
        <w:div w:id="1530100402">
          <w:marLeft w:val="0"/>
          <w:marRight w:val="0"/>
          <w:marTop w:val="0"/>
          <w:marBottom w:val="0"/>
          <w:divBdr>
            <w:top w:val="none" w:sz="0" w:space="0" w:color="auto"/>
            <w:left w:val="none" w:sz="0" w:space="0" w:color="auto"/>
            <w:bottom w:val="none" w:sz="0" w:space="0" w:color="auto"/>
            <w:right w:val="none" w:sz="0" w:space="0" w:color="auto"/>
          </w:divBdr>
        </w:div>
      </w:divsChild>
    </w:div>
    <w:div w:id="1202598990">
      <w:bodyDiv w:val="1"/>
      <w:marLeft w:val="0"/>
      <w:marRight w:val="0"/>
      <w:marTop w:val="0"/>
      <w:marBottom w:val="0"/>
      <w:divBdr>
        <w:top w:val="none" w:sz="0" w:space="0" w:color="auto"/>
        <w:left w:val="none" w:sz="0" w:space="0" w:color="auto"/>
        <w:bottom w:val="none" w:sz="0" w:space="0" w:color="auto"/>
        <w:right w:val="none" w:sz="0" w:space="0" w:color="auto"/>
      </w:divBdr>
    </w:div>
    <w:div w:id="1277713732">
      <w:bodyDiv w:val="1"/>
      <w:marLeft w:val="0"/>
      <w:marRight w:val="0"/>
      <w:marTop w:val="0"/>
      <w:marBottom w:val="0"/>
      <w:divBdr>
        <w:top w:val="none" w:sz="0" w:space="0" w:color="auto"/>
        <w:left w:val="none" w:sz="0" w:space="0" w:color="auto"/>
        <w:bottom w:val="none" w:sz="0" w:space="0" w:color="auto"/>
        <w:right w:val="none" w:sz="0" w:space="0" w:color="auto"/>
      </w:divBdr>
    </w:div>
    <w:div w:id="1300070241">
      <w:bodyDiv w:val="1"/>
      <w:marLeft w:val="0"/>
      <w:marRight w:val="0"/>
      <w:marTop w:val="0"/>
      <w:marBottom w:val="0"/>
      <w:divBdr>
        <w:top w:val="none" w:sz="0" w:space="0" w:color="auto"/>
        <w:left w:val="none" w:sz="0" w:space="0" w:color="auto"/>
        <w:bottom w:val="none" w:sz="0" w:space="0" w:color="auto"/>
        <w:right w:val="none" w:sz="0" w:space="0" w:color="auto"/>
      </w:divBdr>
    </w:div>
    <w:div w:id="1383482938">
      <w:bodyDiv w:val="1"/>
      <w:marLeft w:val="0"/>
      <w:marRight w:val="0"/>
      <w:marTop w:val="0"/>
      <w:marBottom w:val="0"/>
      <w:divBdr>
        <w:top w:val="none" w:sz="0" w:space="0" w:color="auto"/>
        <w:left w:val="none" w:sz="0" w:space="0" w:color="auto"/>
        <w:bottom w:val="none" w:sz="0" w:space="0" w:color="auto"/>
        <w:right w:val="none" w:sz="0" w:space="0" w:color="auto"/>
      </w:divBdr>
    </w:div>
    <w:div w:id="1539119865">
      <w:bodyDiv w:val="1"/>
      <w:marLeft w:val="0"/>
      <w:marRight w:val="0"/>
      <w:marTop w:val="0"/>
      <w:marBottom w:val="0"/>
      <w:divBdr>
        <w:top w:val="none" w:sz="0" w:space="0" w:color="auto"/>
        <w:left w:val="none" w:sz="0" w:space="0" w:color="auto"/>
        <w:bottom w:val="none" w:sz="0" w:space="0" w:color="auto"/>
        <w:right w:val="none" w:sz="0" w:space="0" w:color="auto"/>
      </w:divBdr>
    </w:div>
    <w:div w:id="1622223171">
      <w:bodyDiv w:val="1"/>
      <w:marLeft w:val="0"/>
      <w:marRight w:val="0"/>
      <w:marTop w:val="0"/>
      <w:marBottom w:val="0"/>
      <w:divBdr>
        <w:top w:val="none" w:sz="0" w:space="0" w:color="auto"/>
        <w:left w:val="none" w:sz="0" w:space="0" w:color="auto"/>
        <w:bottom w:val="none" w:sz="0" w:space="0" w:color="auto"/>
        <w:right w:val="none" w:sz="0" w:space="0" w:color="auto"/>
      </w:divBdr>
    </w:div>
    <w:div w:id="1652518768">
      <w:bodyDiv w:val="1"/>
      <w:marLeft w:val="0"/>
      <w:marRight w:val="0"/>
      <w:marTop w:val="0"/>
      <w:marBottom w:val="0"/>
      <w:divBdr>
        <w:top w:val="none" w:sz="0" w:space="0" w:color="auto"/>
        <w:left w:val="none" w:sz="0" w:space="0" w:color="auto"/>
        <w:bottom w:val="none" w:sz="0" w:space="0" w:color="auto"/>
        <w:right w:val="none" w:sz="0" w:space="0" w:color="auto"/>
      </w:divBdr>
    </w:div>
    <w:div w:id="1675263211">
      <w:bodyDiv w:val="1"/>
      <w:marLeft w:val="0"/>
      <w:marRight w:val="0"/>
      <w:marTop w:val="0"/>
      <w:marBottom w:val="0"/>
      <w:divBdr>
        <w:top w:val="none" w:sz="0" w:space="0" w:color="auto"/>
        <w:left w:val="none" w:sz="0" w:space="0" w:color="auto"/>
        <w:bottom w:val="none" w:sz="0" w:space="0" w:color="auto"/>
        <w:right w:val="none" w:sz="0" w:space="0" w:color="auto"/>
      </w:divBdr>
    </w:div>
    <w:div w:id="1796632351">
      <w:bodyDiv w:val="1"/>
      <w:marLeft w:val="0"/>
      <w:marRight w:val="0"/>
      <w:marTop w:val="0"/>
      <w:marBottom w:val="0"/>
      <w:divBdr>
        <w:top w:val="none" w:sz="0" w:space="0" w:color="auto"/>
        <w:left w:val="none" w:sz="0" w:space="0" w:color="auto"/>
        <w:bottom w:val="none" w:sz="0" w:space="0" w:color="auto"/>
        <w:right w:val="none" w:sz="0" w:space="0" w:color="auto"/>
      </w:divBdr>
    </w:div>
    <w:div w:id="1871382511">
      <w:bodyDiv w:val="1"/>
      <w:marLeft w:val="0"/>
      <w:marRight w:val="0"/>
      <w:marTop w:val="0"/>
      <w:marBottom w:val="0"/>
      <w:divBdr>
        <w:top w:val="none" w:sz="0" w:space="0" w:color="auto"/>
        <w:left w:val="none" w:sz="0" w:space="0" w:color="auto"/>
        <w:bottom w:val="none" w:sz="0" w:space="0" w:color="auto"/>
        <w:right w:val="none" w:sz="0" w:space="0" w:color="auto"/>
      </w:divBdr>
    </w:div>
    <w:div w:id="205215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idd\Dropbox\budget%20union\Senate%20budget%20committee\Figures%20for%20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iddt\Downloads\Figures%20for%20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iddt\Downloads\Figures%20for%20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iddt\Dropbox\budget%20union\Senate%20budget%20committee\Figures%20for%20Repor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iddt\Dropbox\budget%20union\Senate%20budget%20committee\Figures%20for%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Staffing!$B$12</c:f>
              <c:strCache>
                <c:ptCount val="1"/>
                <c:pt idx="0">
                  <c:v>Part Time Non Tenure-Track</c:v>
                </c:pt>
              </c:strCache>
            </c:strRef>
          </c:tx>
          <c:marker>
            <c:symbol val="none"/>
          </c:marker>
          <c:cat>
            <c:numRef>
              <c:f>Staffing!$C$11:$O$11</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Staffing!$C$12:$O$12</c:f>
              <c:numCache>
                <c:formatCode>0.0%</c:formatCode>
                <c:ptCount val="13"/>
                <c:pt idx="0">
                  <c:v>0</c:v>
                </c:pt>
                <c:pt idx="1">
                  <c:v>-2.3041474654377881E-2</c:v>
                </c:pt>
                <c:pt idx="2">
                  <c:v>6.9124423963133645E-3</c:v>
                </c:pt>
                <c:pt idx="3">
                  <c:v>2.5345622119815669E-2</c:v>
                </c:pt>
                <c:pt idx="4">
                  <c:v>2.7649769585253458E-2</c:v>
                </c:pt>
                <c:pt idx="5">
                  <c:v>5.0691244239631339E-2</c:v>
                </c:pt>
                <c:pt idx="6">
                  <c:v>5.7603686635944701E-2</c:v>
                </c:pt>
                <c:pt idx="7">
                  <c:v>6.6820276497695855E-2</c:v>
                </c:pt>
                <c:pt idx="8">
                  <c:v>7.6036866359447008E-2</c:v>
                </c:pt>
                <c:pt idx="9">
                  <c:v>6.6820276497695855E-2</c:v>
                </c:pt>
                <c:pt idx="10">
                  <c:v>7.3732718894009217E-2</c:v>
                </c:pt>
                <c:pt idx="11">
                  <c:v>4.377880184331797E-2</c:v>
                </c:pt>
                <c:pt idx="12">
                  <c:v>3.6866359447004608E-2</c:v>
                </c:pt>
              </c:numCache>
            </c:numRef>
          </c:val>
          <c:smooth val="0"/>
        </c:ser>
        <c:ser>
          <c:idx val="1"/>
          <c:order val="1"/>
          <c:tx>
            <c:strRef>
              <c:f>Staffing!$B$13</c:f>
              <c:strCache>
                <c:ptCount val="1"/>
                <c:pt idx="0">
                  <c:v>Tenure Track</c:v>
                </c:pt>
              </c:strCache>
            </c:strRef>
          </c:tx>
          <c:marker>
            <c:symbol val="none"/>
          </c:marker>
          <c:cat>
            <c:numRef>
              <c:f>Staffing!$C$11:$O$11</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Staffing!$C$13:$O$13</c:f>
              <c:numCache>
                <c:formatCode>0.0%</c:formatCode>
                <c:ptCount val="13"/>
                <c:pt idx="0">
                  <c:v>0</c:v>
                </c:pt>
                <c:pt idx="1">
                  <c:v>-5.6179775280898875E-3</c:v>
                </c:pt>
                <c:pt idx="2">
                  <c:v>-5.6179775280898875E-3</c:v>
                </c:pt>
                <c:pt idx="3">
                  <c:v>-0.20224719101123595</c:v>
                </c:pt>
                <c:pt idx="4">
                  <c:v>-0.19101123595505617</c:v>
                </c:pt>
                <c:pt idx="5">
                  <c:v>-0.2696629213483146</c:v>
                </c:pt>
                <c:pt idx="6">
                  <c:v>-0.3146067415730337</c:v>
                </c:pt>
                <c:pt idx="7">
                  <c:v>-0.2640449438202247</c:v>
                </c:pt>
                <c:pt idx="8">
                  <c:v>-0.29213483146067415</c:v>
                </c:pt>
                <c:pt idx="9">
                  <c:v>-0.3202247191011236</c:v>
                </c:pt>
                <c:pt idx="10">
                  <c:v>-0.28651685393258425</c:v>
                </c:pt>
                <c:pt idx="11">
                  <c:v>-0.3707865168539326</c:v>
                </c:pt>
                <c:pt idx="12">
                  <c:v>-0.33146067415730335</c:v>
                </c:pt>
              </c:numCache>
            </c:numRef>
          </c:val>
          <c:smooth val="0"/>
        </c:ser>
        <c:dLbls>
          <c:showLegendKey val="0"/>
          <c:showVal val="0"/>
          <c:showCatName val="0"/>
          <c:showSerName val="0"/>
          <c:showPercent val="0"/>
          <c:showBubbleSize val="0"/>
        </c:dLbls>
        <c:marker val="1"/>
        <c:smooth val="0"/>
        <c:axId val="85807104"/>
        <c:axId val="85808640"/>
      </c:lineChart>
      <c:catAx>
        <c:axId val="85807104"/>
        <c:scaling>
          <c:orientation val="minMax"/>
        </c:scaling>
        <c:delete val="0"/>
        <c:axPos val="b"/>
        <c:numFmt formatCode="General" sourceLinked="1"/>
        <c:majorTickMark val="out"/>
        <c:minorTickMark val="none"/>
        <c:tickLblPos val="nextTo"/>
        <c:crossAx val="85808640"/>
        <c:crosses val="autoZero"/>
        <c:auto val="1"/>
        <c:lblAlgn val="ctr"/>
        <c:lblOffset val="100"/>
        <c:noMultiLvlLbl val="0"/>
      </c:catAx>
      <c:valAx>
        <c:axId val="85808640"/>
        <c:scaling>
          <c:orientation val="minMax"/>
          <c:max val="0.1"/>
          <c:min val="-0.4"/>
        </c:scaling>
        <c:delete val="0"/>
        <c:axPos val="l"/>
        <c:majorGridlines/>
        <c:numFmt formatCode="0.0%" sourceLinked="1"/>
        <c:majorTickMark val="out"/>
        <c:minorTickMark val="none"/>
        <c:tickLblPos val="nextTo"/>
        <c:crossAx val="858071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Change</a:t>
            </a:r>
            <a:r>
              <a:rPr lang="en-US" baseline="0"/>
              <a:t> in Salary Levels as a percentage of total UNI Salary since 2003</a:t>
            </a:r>
            <a:endParaRPr lang="en-US"/>
          </a:p>
        </c:rich>
      </c:tx>
      <c:overlay val="0"/>
      <c:spPr>
        <a:noFill/>
        <a:ln>
          <a:noFill/>
        </a:ln>
        <a:effectLst/>
      </c:spPr>
    </c:title>
    <c:autoTitleDeleted val="0"/>
    <c:plotArea>
      <c:layout/>
      <c:lineChart>
        <c:grouping val="standard"/>
        <c:varyColors val="0"/>
        <c:ser>
          <c:idx val="0"/>
          <c:order val="0"/>
          <c:tx>
            <c:strRef>
              <c:f>'Salary Percentages'!$A$8</c:f>
              <c:strCache>
                <c:ptCount val="1"/>
                <c:pt idx="0">
                  <c:v>Faculty (from instruction)</c:v>
                </c:pt>
              </c:strCache>
            </c:strRef>
          </c:tx>
          <c:spPr>
            <a:ln w="28575" cap="rnd">
              <a:solidFill>
                <a:schemeClr val="accent1"/>
              </a:solidFill>
              <a:round/>
            </a:ln>
            <a:effectLst/>
          </c:spPr>
          <c:marker>
            <c:symbol val="none"/>
          </c:marker>
          <c:cat>
            <c:numRef>
              <c:f>'Salary Percentages'!$B$7:$K$7</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'Salary Percentages'!$B$8:$K$8</c:f>
              <c:numCache>
                <c:formatCode>0.00%</c:formatCode>
                <c:ptCount val="10"/>
                <c:pt idx="0">
                  <c:v>0</c:v>
                </c:pt>
                <c:pt idx="1">
                  <c:v>1.4202383971595216E-2</c:v>
                </c:pt>
                <c:pt idx="2">
                  <c:v>-2.5361399949277224E-3</c:v>
                </c:pt>
                <c:pt idx="3">
                  <c:v>1.0651787978696519E-2</c:v>
                </c:pt>
                <c:pt idx="4">
                  <c:v>0</c:v>
                </c:pt>
                <c:pt idx="5">
                  <c:v>-1.673852396652294E-2</c:v>
                </c:pt>
                <c:pt idx="6">
                  <c:v>-4.0831853918336304E-2</c:v>
                </c:pt>
                <c:pt idx="7">
                  <c:v>-8.0902865838194227E-2</c:v>
                </c:pt>
                <c:pt idx="8">
                  <c:v>-3.9817397920365184E-2</c:v>
                </c:pt>
                <c:pt idx="9">
                  <c:v>-4.1592695916814533E-2</c:v>
                </c:pt>
              </c:numCache>
            </c:numRef>
          </c:val>
          <c:smooth val="0"/>
        </c:ser>
        <c:ser>
          <c:idx val="1"/>
          <c:order val="1"/>
          <c:tx>
            <c:strRef>
              <c:f>'Salary Percentages'!$A$9</c:f>
              <c:strCache>
                <c:ptCount val="1"/>
                <c:pt idx="0">
                  <c:v>Institutional support </c:v>
                </c:pt>
              </c:strCache>
            </c:strRef>
          </c:tx>
          <c:spPr>
            <a:ln w="28575" cap="rnd">
              <a:solidFill>
                <a:schemeClr val="accent2"/>
              </a:solidFill>
              <a:round/>
            </a:ln>
            <a:effectLst/>
          </c:spPr>
          <c:marker>
            <c:symbol val="none"/>
          </c:marker>
          <c:cat>
            <c:numRef>
              <c:f>'Salary Percentages'!$B$7:$K$7</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'Salary Percentages'!$B$9:$K$9</c:f>
              <c:numCache>
                <c:formatCode>0.00%</c:formatCode>
                <c:ptCount val="10"/>
                <c:pt idx="0">
                  <c:v>0</c:v>
                </c:pt>
                <c:pt idx="1">
                  <c:v>2.3663453111305945E-2</c:v>
                </c:pt>
                <c:pt idx="2">
                  <c:v>4.2068361086766107E-2</c:v>
                </c:pt>
                <c:pt idx="3">
                  <c:v>8.5889570552147271E-2</c:v>
                </c:pt>
                <c:pt idx="4">
                  <c:v>9.4653812445223529E-2</c:v>
                </c:pt>
                <c:pt idx="5">
                  <c:v>9.2900964066608346E-2</c:v>
                </c:pt>
                <c:pt idx="6">
                  <c:v>9.3777388255915875E-2</c:v>
                </c:pt>
                <c:pt idx="7">
                  <c:v>0.18667835232252411</c:v>
                </c:pt>
                <c:pt idx="8">
                  <c:v>-2.8921998247151599E-2</c:v>
                </c:pt>
                <c:pt idx="9">
                  <c:v>4.8203330411919418E-2</c:v>
                </c:pt>
              </c:numCache>
            </c:numRef>
          </c:val>
          <c:smooth val="0"/>
        </c:ser>
        <c:ser>
          <c:idx val="2"/>
          <c:order val="2"/>
          <c:tx>
            <c:strRef>
              <c:f>'Salary Percentages'!$A$10</c:f>
              <c:strCache>
                <c:ptCount val="1"/>
                <c:pt idx="0">
                  <c:v>Auxiliary enterprises </c:v>
                </c:pt>
              </c:strCache>
            </c:strRef>
          </c:tx>
          <c:spPr>
            <a:ln w="28575" cap="rnd">
              <a:solidFill>
                <a:schemeClr val="accent3"/>
              </a:solidFill>
              <a:round/>
            </a:ln>
            <a:effectLst/>
          </c:spPr>
          <c:marker>
            <c:symbol val="none"/>
          </c:marker>
          <c:cat>
            <c:numRef>
              <c:f>'Salary Percentages'!$B$7:$K$7</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'Salary Percentages'!$B$10:$K$10</c:f>
              <c:numCache>
                <c:formatCode>0.00%</c:formatCode>
                <c:ptCount val="10"/>
                <c:pt idx="0">
                  <c:v>0</c:v>
                </c:pt>
                <c:pt idx="1">
                  <c:v>1.9103600293901478E-2</c:v>
                </c:pt>
                <c:pt idx="2">
                  <c:v>3.6002939015429739E-2</c:v>
                </c:pt>
                <c:pt idx="3">
                  <c:v>7.274063188831735E-2</c:v>
                </c:pt>
                <c:pt idx="4">
                  <c:v>9.2578986039676708E-2</c:v>
                </c:pt>
                <c:pt idx="5">
                  <c:v>9.5518001469507799E-2</c:v>
                </c:pt>
                <c:pt idx="6">
                  <c:v>8.0088170462894875E-2</c:v>
                </c:pt>
                <c:pt idx="7">
                  <c:v>0.1138868479059516</c:v>
                </c:pt>
                <c:pt idx="8">
                  <c:v>0.12931667891256432</c:v>
                </c:pt>
                <c:pt idx="9">
                  <c:v>0.13886847905951508</c:v>
                </c:pt>
              </c:numCache>
            </c:numRef>
          </c:val>
          <c:smooth val="0"/>
        </c:ser>
        <c:ser>
          <c:idx val="3"/>
          <c:order val="3"/>
          <c:tx>
            <c:strRef>
              <c:f>'Salary Percentages'!$A$11</c:f>
              <c:strCache>
                <c:ptCount val="1"/>
                <c:pt idx="0">
                  <c:v>Athletic salaries </c:v>
                </c:pt>
              </c:strCache>
            </c:strRef>
          </c:tx>
          <c:spPr>
            <a:ln w="28575" cap="rnd">
              <a:solidFill>
                <a:schemeClr val="accent4"/>
              </a:solidFill>
              <a:round/>
            </a:ln>
            <a:effectLst/>
          </c:spPr>
          <c:marker>
            <c:symbol val="none"/>
          </c:marker>
          <c:cat>
            <c:numRef>
              <c:f>'Salary Percentages'!$B$7:$K$7</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'Salary Percentages'!$B$11:$K$11</c:f>
              <c:numCache>
                <c:formatCode>0.00%</c:formatCode>
                <c:ptCount val="10"/>
                <c:pt idx="0">
                  <c:v>0</c:v>
                </c:pt>
                <c:pt idx="1">
                  <c:v>8.2949308755760343E-2</c:v>
                </c:pt>
                <c:pt idx="2">
                  <c:v>0.11520737327188935</c:v>
                </c:pt>
                <c:pt idx="3">
                  <c:v>0.10599078341013825</c:v>
                </c:pt>
                <c:pt idx="4">
                  <c:v>0.1751152073732718</c:v>
                </c:pt>
                <c:pt idx="5">
                  <c:v>0.14746543778801835</c:v>
                </c:pt>
                <c:pt idx="6">
                  <c:v>0.22119815668202758</c:v>
                </c:pt>
                <c:pt idx="7">
                  <c:v>0.31797235023041476</c:v>
                </c:pt>
                <c:pt idx="8">
                  <c:v>0.34101382488479265</c:v>
                </c:pt>
                <c:pt idx="9">
                  <c:v>0.32718894009216581</c:v>
                </c:pt>
              </c:numCache>
            </c:numRef>
          </c:val>
          <c:smooth val="0"/>
        </c:ser>
        <c:dLbls>
          <c:showLegendKey val="0"/>
          <c:showVal val="0"/>
          <c:showCatName val="0"/>
          <c:showSerName val="0"/>
          <c:showPercent val="0"/>
          <c:showBubbleSize val="0"/>
        </c:dLbls>
        <c:marker val="1"/>
        <c:smooth val="0"/>
        <c:axId val="85839232"/>
        <c:axId val="85841024"/>
      </c:lineChart>
      <c:catAx>
        <c:axId val="8583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841024"/>
        <c:crosses val="autoZero"/>
        <c:auto val="1"/>
        <c:lblAlgn val="ctr"/>
        <c:lblOffset val="100"/>
        <c:noMultiLvlLbl val="0"/>
      </c:catAx>
      <c:valAx>
        <c:axId val="85841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839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Change in Athletics</a:t>
            </a:r>
            <a:r>
              <a:rPr lang="en-US" baseline="0"/>
              <a:t> Financials Since 2003</a:t>
            </a:r>
            <a:endParaRPr lang="en-US"/>
          </a:p>
        </c:rich>
      </c:tx>
      <c:overlay val="0"/>
      <c:spPr>
        <a:noFill/>
        <a:ln>
          <a:noFill/>
        </a:ln>
        <a:effectLst/>
      </c:spPr>
    </c:title>
    <c:autoTitleDeleted val="0"/>
    <c:plotArea>
      <c:layout/>
      <c:lineChart>
        <c:grouping val="standard"/>
        <c:varyColors val="0"/>
        <c:ser>
          <c:idx val="0"/>
          <c:order val="0"/>
          <c:tx>
            <c:strRef>
              <c:f>Sheet1!$A$18</c:f>
              <c:strCache>
                <c:ptCount val="1"/>
                <c:pt idx="0">
                  <c:v>Percentage Change in Revenue (not including GEF, NCAA, Student Fee, Foundation)</c:v>
                </c:pt>
              </c:strCache>
            </c:strRef>
          </c:tx>
          <c:spPr>
            <a:ln w="28575" cap="rnd">
              <a:solidFill>
                <a:schemeClr val="accent1"/>
              </a:solidFill>
              <a:round/>
            </a:ln>
            <a:effectLst/>
          </c:spPr>
          <c:marker>
            <c:symbol val="none"/>
          </c:marker>
          <c:cat>
            <c:numRef>
              <c:f>Sheet1!$B$17:$K$17</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Sheet1!$B$18:$K$18</c:f>
              <c:numCache>
                <c:formatCode>0.0%</c:formatCode>
                <c:ptCount val="10"/>
                <c:pt idx="0">
                  <c:v>0</c:v>
                </c:pt>
                <c:pt idx="1">
                  <c:v>0.19276708692767086</c:v>
                </c:pt>
                <c:pt idx="2">
                  <c:v>0.2733908427339084</c:v>
                </c:pt>
                <c:pt idx="3">
                  <c:v>0.38453881884538821</c:v>
                </c:pt>
                <c:pt idx="4">
                  <c:v>0.62408759124087587</c:v>
                </c:pt>
                <c:pt idx="5">
                  <c:v>0.77504976775049772</c:v>
                </c:pt>
                <c:pt idx="6">
                  <c:v>1.0962176509621766</c:v>
                </c:pt>
                <c:pt idx="7">
                  <c:v>1.2491705374917055</c:v>
                </c:pt>
                <c:pt idx="8">
                  <c:v>1.2332448573324486</c:v>
                </c:pt>
                <c:pt idx="9">
                  <c:v>1.5726609157266092</c:v>
                </c:pt>
              </c:numCache>
            </c:numRef>
          </c:val>
          <c:smooth val="0"/>
        </c:ser>
        <c:ser>
          <c:idx val="1"/>
          <c:order val="1"/>
          <c:tx>
            <c:strRef>
              <c:f>Sheet1!$A$19</c:f>
              <c:strCache>
                <c:ptCount val="1"/>
                <c:pt idx="0">
                  <c:v>Percentage Change in Salaries</c:v>
                </c:pt>
              </c:strCache>
            </c:strRef>
          </c:tx>
          <c:spPr>
            <a:ln w="28575" cap="rnd">
              <a:solidFill>
                <a:schemeClr val="accent2"/>
              </a:solidFill>
              <a:round/>
            </a:ln>
            <a:effectLst/>
          </c:spPr>
          <c:marker>
            <c:symbol val="none"/>
          </c:marker>
          <c:cat>
            <c:numRef>
              <c:f>Sheet1!$B$17:$K$17</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Sheet1!$B$19:$K$19</c:f>
              <c:numCache>
                <c:formatCode>0.0%</c:formatCode>
                <c:ptCount val="10"/>
                <c:pt idx="0">
                  <c:v>0</c:v>
                </c:pt>
                <c:pt idx="1">
                  <c:v>0.1051417270929466</c:v>
                </c:pt>
                <c:pt idx="2">
                  <c:v>0.16117336849044167</c:v>
                </c:pt>
                <c:pt idx="3">
                  <c:v>0.17765326301911669</c:v>
                </c:pt>
                <c:pt idx="4">
                  <c:v>0.28411338167435729</c:v>
                </c:pt>
                <c:pt idx="5">
                  <c:v>0.33190507580751483</c:v>
                </c:pt>
                <c:pt idx="6">
                  <c:v>0.53625576796308505</c:v>
                </c:pt>
                <c:pt idx="7">
                  <c:v>0.57185234014502306</c:v>
                </c:pt>
                <c:pt idx="8">
                  <c:v>0.65227422544495717</c:v>
                </c:pt>
                <c:pt idx="9">
                  <c:v>0.68358602504943966</c:v>
                </c:pt>
              </c:numCache>
            </c:numRef>
          </c:val>
          <c:smooth val="0"/>
        </c:ser>
        <c:ser>
          <c:idx val="2"/>
          <c:order val="2"/>
          <c:tx>
            <c:strRef>
              <c:f>Sheet1!$A$20</c:f>
              <c:strCache>
                <c:ptCount val="1"/>
                <c:pt idx="0">
                  <c:v>Percentage Change in Expenses (incl. Salaries)</c:v>
                </c:pt>
              </c:strCache>
            </c:strRef>
          </c:tx>
          <c:spPr>
            <a:ln w="28575" cap="rnd">
              <a:solidFill>
                <a:schemeClr val="accent3"/>
              </a:solidFill>
              <a:round/>
            </a:ln>
            <a:effectLst/>
          </c:spPr>
          <c:marker>
            <c:symbol val="none"/>
          </c:marker>
          <c:cat>
            <c:numRef>
              <c:f>Sheet1!$B$17:$K$17</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Sheet1!$B$20:$K$20</c:f>
              <c:numCache>
                <c:formatCode>0.0%</c:formatCode>
                <c:ptCount val="10"/>
                <c:pt idx="0">
                  <c:v>0</c:v>
                </c:pt>
                <c:pt idx="1">
                  <c:v>0.12871422702998767</c:v>
                </c:pt>
                <c:pt idx="2">
                  <c:v>0.20416267287416132</c:v>
                </c:pt>
                <c:pt idx="3">
                  <c:v>0.2681089963028892</c:v>
                </c:pt>
                <c:pt idx="4">
                  <c:v>0.43927153224702176</c:v>
                </c:pt>
                <c:pt idx="5">
                  <c:v>0.4755579898671779</c:v>
                </c:pt>
                <c:pt idx="6">
                  <c:v>0.65151307681774617</c:v>
                </c:pt>
                <c:pt idx="7">
                  <c:v>0.59865808571819801</c:v>
                </c:pt>
                <c:pt idx="8">
                  <c:v>0.59386553471176229</c:v>
                </c:pt>
                <c:pt idx="9">
                  <c:v>0.67095714090099956</c:v>
                </c:pt>
              </c:numCache>
            </c:numRef>
          </c:val>
          <c:smooth val="0"/>
        </c:ser>
        <c:ser>
          <c:idx val="3"/>
          <c:order val="3"/>
          <c:tx>
            <c:strRef>
              <c:f>Sheet1!$A$21</c:f>
              <c:strCache>
                <c:ptCount val="1"/>
                <c:pt idx="0">
                  <c:v>Percentage Change in GEF Support (Net Transfers In)</c:v>
                </c:pt>
              </c:strCache>
            </c:strRef>
          </c:tx>
          <c:spPr>
            <a:ln w="28575" cap="rnd">
              <a:solidFill>
                <a:schemeClr val="accent4"/>
              </a:solidFill>
              <a:round/>
            </a:ln>
            <a:effectLst/>
          </c:spPr>
          <c:marker>
            <c:symbol val="none"/>
          </c:marker>
          <c:cat>
            <c:numRef>
              <c:f>Sheet1!$B$17:$K$17</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Sheet1!$B$21:$K$21</c:f>
              <c:numCache>
                <c:formatCode>0.0%</c:formatCode>
                <c:ptCount val="10"/>
                <c:pt idx="0">
                  <c:v>0</c:v>
                </c:pt>
                <c:pt idx="1">
                  <c:v>9.4932191291934337E-2</c:v>
                </c:pt>
                <c:pt idx="2">
                  <c:v>0.17201998572448252</c:v>
                </c:pt>
                <c:pt idx="3">
                  <c:v>0.21294313585534141</c:v>
                </c:pt>
                <c:pt idx="4">
                  <c:v>0.28765167737330477</c:v>
                </c:pt>
                <c:pt idx="5">
                  <c:v>0.29669283844872713</c:v>
                </c:pt>
                <c:pt idx="6">
                  <c:v>0.39376635736378779</c:v>
                </c:pt>
                <c:pt idx="7">
                  <c:v>0.14703783012134189</c:v>
                </c:pt>
                <c:pt idx="8">
                  <c:v>0.16297882464906019</c:v>
                </c:pt>
                <c:pt idx="9">
                  <c:v>6.7332857482750419E-2</c:v>
                </c:pt>
              </c:numCache>
            </c:numRef>
          </c:val>
          <c:smooth val="0"/>
        </c:ser>
        <c:dLbls>
          <c:showLegendKey val="0"/>
          <c:showVal val="0"/>
          <c:showCatName val="0"/>
          <c:showSerName val="0"/>
          <c:showPercent val="0"/>
          <c:showBubbleSize val="0"/>
        </c:dLbls>
        <c:marker val="1"/>
        <c:smooth val="0"/>
        <c:axId val="164441088"/>
        <c:axId val="164442880"/>
      </c:lineChart>
      <c:catAx>
        <c:axId val="16444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442880"/>
        <c:crosses val="autoZero"/>
        <c:auto val="1"/>
        <c:lblAlgn val="ctr"/>
        <c:lblOffset val="100"/>
        <c:noMultiLvlLbl val="0"/>
      </c:catAx>
      <c:valAx>
        <c:axId val="1644428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44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Change in Enrollment / Entering Class as Compared</a:t>
            </a:r>
            <a:r>
              <a:rPr lang="en-US" baseline="0"/>
              <a:t> to 2006</a:t>
            </a:r>
            <a:endParaRPr lang="en-US"/>
          </a:p>
        </c:rich>
      </c:tx>
      <c:overlay val="0"/>
      <c:spPr>
        <a:noFill/>
        <a:ln>
          <a:noFill/>
        </a:ln>
        <a:effectLst/>
      </c:spPr>
    </c:title>
    <c:autoTitleDeleted val="0"/>
    <c:plotArea>
      <c:layout/>
      <c:lineChart>
        <c:grouping val="standard"/>
        <c:varyColors val="0"/>
        <c:ser>
          <c:idx val="0"/>
          <c:order val="0"/>
          <c:tx>
            <c:strRef>
              <c:f>'Donations and Enrollment'!$A$9</c:f>
              <c:strCache>
                <c:ptCount val="1"/>
                <c:pt idx="0">
                  <c:v>Enrollment (UG)</c:v>
                </c:pt>
              </c:strCache>
            </c:strRef>
          </c:tx>
          <c:spPr>
            <a:ln w="28575" cap="rnd">
              <a:solidFill>
                <a:schemeClr val="accent1"/>
              </a:solidFill>
              <a:round/>
            </a:ln>
            <a:effectLst/>
          </c:spPr>
          <c:marker>
            <c:symbol val="none"/>
          </c:marker>
          <c:cat>
            <c:numRef>
              <c:f>'Donations and Enrollment'!$B$8:$I$8</c:f>
              <c:numCache>
                <c:formatCode>General</c:formatCode>
                <c:ptCount val="8"/>
                <c:pt idx="0">
                  <c:v>2006</c:v>
                </c:pt>
                <c:pt idx="1">
                  <c:v>2007</c:v>
                </c:pt>
                <c:pt idx="2">
                  <c:v>2008</c:v>
                </c:pt>
                <c:pt idx="3">
                  <c:v>2009</c:v>
                </c:pt>
                <c:pt idx="4">
                  <c:v>2010</c:v>
                </c:pt>
                <c:pt idx="5">
                  <c:v>2011</c:v>
                </c:pt>
                <c:pt idx="6">
                  <c:v>2012</c:v>
                </c:pt>
                <c:pt idx="7">
                  <c:v>2013</c:v>
                </c:pt>
              </c:numCache>
            </c:numRef>
          </c:cat>
          <c:val>
            <c:numRef>
              <c:f>'Donations and Enrollment'!$B$9:$I$9</c:f>
              <c:numCache>
                <c:formatCode>0.00%</c:formatCode>
                <c:ptCount val="8"/>
                <c:pt idx="0">
                  <c:v>0</c:v>
                </c:pt>
                <c:pt idx="1">
                  <c:v>2.9850746268656716E-2</c:v>
                </c:pt>
                <c:pt idx="2">
                  <c:v>4.3256233103033948E-2</c:v>
                </c:pt>
                <c:pt idx="3">
                  <c:v>6.5708418891170434E-2</c:v>
                </c:pt>
                <c:pt idx="4">
                  <c:v>7.9302370398920796E-2</c:v>
                </c:pt>
                <c:pt idx="5">
                  <c:v>6.4061122538936227E-2</c:v>
                </c:pt>
                <c:pt idx="6">
                  <c:v>1.2811240830664325E-2</c:v>
                </c:pt>
                <c:pt idx="7">
                  <c:v>-2.4115755627009645E-2</c:v>
                </c:pt>
              </c:numCache>
            </c:numRef>
          </c:val>
          <c:smooth val="0"/>
        </c:ser>
        <c:ser>
          <c:idx val="1"/>
          <c:order val="1"/>
          <c:tx>
            <c:strRef>
              <c:f>'Donations and Enrollment'!$A$10</c:f>
              <c:strCache>
                <c:ptCount val="1"/>
                <c:pt idx="0">
                  <c:v>Incoming UG Class</c:v>
                </c:pt>
              </c:strCache>
            </c:strRef>
          </c:tx>
          <c:spPr>
            <a:ln w="28575" cap="rnd">
              <a:solidFill>
                <a:schemeClr val="accent2"/>
              </a:solidFill>
              <a:round/>
            </a:ln>
            <a:effectLst/>
          </c:spPr>
          <c:marker>
            <c:symbol val="none"/>
          </c:marker>
          <c:cat>
            <c:numRef>
              <c:f>'Donations and Enrollment'!$B$8:$I$8</c:f>
              <c:numCache>
                <c:formatCode>General</c:formatCode>
                <c:ptCount val="8"/>
                <c:pt idx="0">
                  <c:v>2006</c:v>
                </c:pt>
                <c:pt idx="1">
                  <c:v>2007</c:v>
                </c:pt>
                <c:pt idx="2">
                  <c:v>2008</c:v>
                </c:pt>
                <c:pt idx="3">
                  <c:v>2009</c:v>
                </c:pt>
                <c:pt idx="4">
                  <c:v>2010</c:v>
                </c:pt>
                <c:pt idx="5">
                  <c:v>2011</c:v>
                </c:pt>
                <c:pt idx="6">
                  <c:v>2012</c:v>
                </c:pt>
                <c:pt idx="7">
                  <c:v>2013</c:v>
                </c:pt>
              </c:numCache>
            </c:numRef>
          </c:cat>
          <c:val>
            <c:numRef>
              <c:f>'Donations and Enrollment'!$B$10:$I$10</c:f>
              <c:numCache>
                <c:formatCode>0.00%</c:formatCode>
                <c:ptCount val="8"/>
                <c:pt idx="0">
                  <c:v>0</c:v>
                </c:pt>
                <c:pt idx="1">
                  <c:v>3.259452411994785E-2</c:v>
                </c:pt>
                <c:pt idx="2">
                  <c:v>3.2279100097815455E-2</c:v>
                </c:pt>
                <c:pt idx="3">
                  <c:v>4.2889390519187359E-2</c:v>
                </c:pt>
                <c:pt idx="4">
                  <c:v>7.1339173967459327E-2</c:v>
                </c:pt>
                <c:pt idx="5">
                  <c:v>4.4430135222150675E-2</c:v>
                </c:pt>
                <c:pt idx="6">
                  <c:v>-6.4180709931875218E-2</c:v>
                </c:pt>
                <c:pt idx="7">
                  <c:v>-6.7241999280834228E-2</c:v>
                </c:pt>
              </c:numCache>
            </c:numRef>
          </c:val>
          <c:smooth val="0"/>
        </c:ser>
        <c:dLbls>
          <c:showLegendKey val="0"/>
          <c:showVal val="0"/>
          <c:showCatName val="0"/>
          <c:showSerName val="0"/>
          <c:showPercent val="0"/>
          <c:showBubbleSize val="0"/>
        </c:dLbls>
        <c:marker val="1"/>
        <c:smooth val="0"/>
        <c:axId val="164460032"/>
        <c:axId val="164461568"/>
      </c:lineChart>
      <c:catAx>
        <c:axId val="16446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461568"/>
        <c:crosses val="autoZero"/>
        <c:auto val="1"/>
        <c:lblAlgn val="ctr"/>
        <c:lblOffset val="100"/>
        <c:noMultiLvlLbl val="0"/>
      </c:catAx>
      <c:valAx>
        <c:axId val="164461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460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Donations to Foundation (k$)</a:t>
            </a:r>
          </a:p>
        </c:rich>
      </c:tx>
      <c:overlay val="0"/>
      <c:spPr>
        <a:noFill/>
        <a:ln>
          <a:noFill/>
        </a:ln>
        <a:effectLst/>
      </c:spPr>
    </c:title>
    <c:autoTitleDeleted val="0"/>
    <c:plotArea>
      <c:layout/>
      <c:barChart>
        <c:barDir val="col"/>
        <c:grouping val="clustered"/>
        <c:varyColors val="0"/>
        <c:ser>
          <c:idx val="0"/>
          <c:order val="0"/>
          <c:tx>
            <c:strRef>
              <c:f>'Donations and Enrollment'!$A$2</c:f>
              <c:strCache>
                <c:ptCount val="1"/>
                <c:pt idx="0">
                  <c:v>Donations (k$)</c:v>
                </c:pt>
              </c:strCache>
            </c:strRef>
          </c:tx>
          <c:spPr>
            <a:solidFill>
              <a:schemeClr val="accent1"/>
            </a:solidFill>
            <a:ln>
              <a:noFill/>
            </a:ln>
            <a:effectLst/>
          </c:spPr>
          <c:invertIfNegative val="0"/>
          <c:cat>
            <c:numRef>
              <c:f>'Donations and Enrollment'!$B$1:$I$1</c:f>
              <c:numCache>
                <c:formatCode>General</c:formatCode>
                <c:ptCount val="8"/>
                <c:pt idx="0">
                  <c:v>2006</c:v>
                </c:pt>
                <c:pt idx="1">
                  <c:v>2007</c:v>
                </c:pt>
                <c:pt idx="2">
                  <c:v>2008</c:v>
                </c:pt>
                <c:pt idx="3">
                  <c:v>2009</c:v>
                </c:pt>
                <c:pt idx="4">
                  <c:v>2010</c:v>
                </c:pt>
                <c:pt idx="5">
                  <c:v>2011</c:v>
                </c:pt>
                <c:pt idx="6">
                  <c:v>2012</c:v>
                </c:pt>
                <c:pt idx="7">
                  <c:v>2013</c:v>
                </c:pt>
              </c:numCache>
            </c:numRef>
          </c:cat>
          <c:val>
            <c:numRef>
              <c:f>'Donations and Enrollment'!$B$2:$I$2</c:f>
              <c:numCache>
                <c:formatCode>General</c:formatCode>
                <c:ptCount val="8"/>
                <c:pt idx="0">
                  <c:v>8612.375</c:v>
                </c:pt>
                <c:pt idx="1">
                  <c:v>8682.7890000000007</c:v>
                </c:pt>
                <c:pt idx="2">
                  <c:v>14357.954</c:v>
                </c:pt>
                <c:pt idx="3">
                  <c:v>8871.8160000000007</c:v>
                </c:pt>
                <c:pt idx="4">
                  <c:v>8476.2250000000004</c:v>
                </c:pt>
                <c:pt idx="5">
                  <c:v>7970.8190000000004</c:v>
                </c:pt>
                <c:pt idx="6">
                  <c:v>7340.69</c:v>
                </c:pt>
                <c:pt idx="7">
                  <c:v>14909.512000000001</c:v>
                </c:pt>
              </c:numCache>
            </c:numRef>
          </c:val>
        </c:ser>
        <c:dLbls>
          <c:showLegendKey val="0"/>
          <c:showVal val="0"/>
          <c:showCatName val="0"/>
          <c:showSerName val="0"/>
          <c:showPercent val="0"/>
          <c:showBubbleSize val="0"/>
        </c:dLbls>
        <c:gapWidth val="219"/>
        <c:overlap val="-27"/>
        <c:axId val="164477568"/>
        <c:axId val="164639104"/>
      </c:barChart>
      <c:catAx>
        <c:axId val="16447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639104"/>
        <c:crosses val="autoZero"/>
        <c:auto val="1"/>
        <c:lblAlgn val="ctr"/>
        <c:lblOffset val="100"/>
        <c:noMultiLvlLbl val="0"/>
      </c:catAx>
      <c:valAx>
        <c:axId val="164639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477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5457</TotalTime>
  <Pages>16</Pages>
  <Words>4417</Words>
  <Characters>25180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College of Humanities, Arts, and Sciences</Company>
  <LinksUpToDate>false</LinksUpToDate>
  <CharactersWithSpaces>29538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E Kidd</dc:creator>
  <cp:keywords/>
  <dc:description/>
  <cp:lastModifiedBy>kidd</cp:lastModifiedBy>
  <cp:revision>44</cp:revision>
  <cp:lastPrinted>2014-04-25T03:30:00Z</cp:lastPrinted>
  <dcterms:created xsi:type="dcterms:W3CDTF">2014-04-04T16:03:00Z</dcterms:created>
  <dcterms:modified xsi:type="dcterms:W3CDTF">2014-09-25T21:50:00Z</dcterms:modified>
</cp:coreProperties>
</file>