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33C89" w14:textId="77777777" w:rsidR="00E742F6" w:rsidRDefault="00E742F6">
      <w:pPr>
        <w:rPr>
          <w:b/>
          <w:sz w:val="32"/>
        </w:rPr>
      </w:pPr>
    </w:p>
    <w:p w14:paraId="54A65AB7" w14:textId="77777777" w:rsidR="000C59DD" w:rsidRDefault="000C59DD">
      <w:pPr>
        <w:rPr>
          <w:b/>
          <w:sz w:val="32"/>
        </w:rPr>
      </w:pPr>
    </w:p>
    <w:p w14:paraId="057BA925" w14:textId="77777777" w:rsidR="00DD55C9" w:rsidRDefault="00DD55C9">
      <w:pPr>
        <w:rPr>
          <w:b/>
          <w:sz w:val="32"/>
        </w:rPr>
      </w:pPr>
    </w:p>
    <w:p w14:paraId="64D2A939" w14:textId="77777777" w:rsidR="00A91168" w:rsidRDefault="00A91168">
      <w:pPr>
        <w:rPr>
          <w:b/>
          <w:sz w:val="32"/>
        </w:rPr>
      </w:pPr>
    </w:p>
    <w:p w14:paraId="00B2CC66" w14:textId="77777777" w:rsidR="00A91168" w:rsidRDefault="00A91168">
      <w:pPr>
        <w:rPr>
          <w:b/>
          <w:sz w:val="32"/>
        </w:rPr>
      </w:pPr>
    </w:p>
    <w:p w14:paraId="60F66A68" w14:textId="77777777" w:rsidR="000C59DD" w:rsidRDefault="000C59DD">
      <w:pPr>
        <w:rPr>
          <w:b/>
          <w:sz w:val="32"/>
        </w:rPr>
      </w:pPr>
    </w:p>
    <w:p w14:paraId="685D039A" w14:textId="77777777" w:rsidR="000C59DD" w:rsidRDefault="000C59DD">
      <w:pPr>
        <w:rPr>
          <w:b/>
          <w:sz w:val="32"/>
        </w:rPr>
      </w:pPr>
      <w:r w:rsidRPr="00446E37">
        <w:rPr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246067E2" wp14:editId="217DFF5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422140" cy="1514475"/>
            <wp:effectExtent l="0" t="0" r="0" b="9525"/>
            <wp:wrapNone/>
            <wp:docPr id="6" name="Picture 6" descr="http://www.uni.edu/ur/sites/default/files/webnameplates/images/NPH4b1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.edu/ur/sites/default/files/webnameplates/images/NPH4b116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01365" w14:textId="77777777" w:rsidR="000C59DD" w:rsidRDefault="000C59DD">
      <w:pPr>
        <w:rPr>
          <w:b/>
          <w:sz w:val="32"/>
        </w:rPr>
      </w:pPr>
    </w:p>
    <w:p w14:paraId="27D4EB7A" w14:textId="77777777" w:rsidR="000C59DD" w:rsidRDefault="000C59DD">
      <w:pPr>
        <w:rPr>
          <w:b/>
          <w:sz w:val="32"/>
        </w:rPr>
      </w:pPr>
    </w:p>
    <w:p w14:paraId="2E5A5C5F" w14:textId="77777777" w:rsidR="000C59DD" w:rsidRDefault="000C59DD">
      <w:pPr>
        <w:rPr>
          <w:b/>
          <w:sz w:val="32"/>
        </w:rPr>
      </w:pPr>
    </w:p>
    <w:p w14:paraId="5B967310" w14:textId="77777777" w:rsidR="000C59DD" w:rsidRDefault="000C59DD">
      <w:pPr>
        <w:rPr>
          <w:b/>
          <w:sz w:val="32"/>
        </w:rPr>
      </w:pPr>
    </w:p>
    <w:p w14:paraId="35C922C0" w14:textId="77777777" w:rsidR="000C59DD" w:rsidRDefault="000C59DD">
      <w:pPr>
        <w:rPr>
          <w:b/>
          <w:sz w:val="32"/>
        </w:rPr>
      </w:pPr>
    </w:p>
    <w:p w14:paraId="0046F5D9" w14:textId="77777777" w:rsidR="000C59DD" w:rsidRDefault="000C59DD">
      <w:pPr>
        <w:rPr>
          <w:b/>
          <w:sz w:val="32"/>
        </w:rPr>
      </w:pPr>
    </w:p>
    <w:p w14:paraId="3D522DFE" w14:textId="77777777" w:rsidR="000C59DD" w:rsidRDefault="000C59DD">
      <w:pPr>
        <w:rPr>
          <w:b/>
          <w:sz w:val="32"/>
        </w:rPr>
      </w:pPr>
    </w:p>
    <w:p w14:paraId="14BB50E7" w14:textId="77777777" w:rsidR="000C59DD" w:rsidRDefault="000C59DD">
      <w:pPr>
        <w:rPr>
          <w:b/>
          <w:sz w:val="32"/>
        </w:rPr>
      </w:pPr>
    </w:p>
    <w:p w14:paraId="711B77CB" w14:textId="77777777" w:rsidR="000C59DD" w:rsidRDefault="000C59DD">
      <w:pPr>
        <w:rPr>
          <w:b/>
          <w:sz w:val="32"/>
        </w:rPr>
      </w:pPr>
    </w:p>
    <w:p w14:paraId="537409F5" w14:textId="77777777" w:rsidR="005570E1" w:rsidRDefault="005570E1" w:rsidP="000C59DD">
      <w:pPr>
        <w:jc w:val="center"/>
        <w:rPr>
          <w:b/>
          <w:sz w:val="48"/>
        </w:rPr>
      </w:pPr>
      <w:r>
        <w:rPr>
          <w:b/>
          <w:sz w:val="48"/>
        </w:rPr>
        <w:t xml:space="preserve">Vision, Mission, and </w:t>
      </w:r>
      <w:r w:rsidR="000C59DD" w:rsidRPr="000C49E1">
        <w:rPr>
          <w:b/>
          <w:sz w:val="48"/>
        </w:rPr>
        <w:t xml:space="preserve">Strategic Plan </w:t>
      </w:r>
    </w:p>
    <w:p w14:paraId="45CFAAB2" w14:textId="25AECCDA" w:rsidR="000C59DD" w:rsidRPr="000C49E1" w:rsidRDefault="000C59DD" w:rsidP="000C59DD">
      <w:pPr>
        <w:jc w:val="center"/>
        <w:rPr>
          <w:b/>
          <w:sz w:val="48"/>
        </w:rPr>
      </w:pPr>
      <w:r w:rsidRPr="000C49E1">
        <w:rPr>
          <w:b/>
          <w:sz w:val="48"/>
        </w:rPr>
        <w:t>2017-2022</w:t>
      </w:r>
    </w:p>
    <w:p w14:paraId="4AD4438F" w14:textId="77777777" w:rsidR="000C49E1" w:rsidRDefault="000C49E1" w:rsidP="000C59DD">
      <w:pPr>
        <w:jc w:val="center"/>
        <w:rPr>
          <w:b/>
          <w:sz w:val="40"/>
        </w:rPr>
      </w:pPr>
    </w:p>
    <w:p w14:paraId="4C309712" w14:textId="72C298B4" w:rsidR="000C49E1" w:rsidRPr="000C59DD" w:rsidRDefault="002A6F70" w:rsidP="000C59DD">
      <w:pPr>
        <w:jc w:val="center"/>
        <w:rPr>
          <w:b/>
          <w:sz w:val="40"/>
        </w:rPr>
      </w:pPr>
      <w:r>
        <w:rPr>
          <w:b/>
          <w:sz w:val="40"/>
        </w:rPr>
        <w:t>September</w:t>
      </w:r>
      <w:r w:rsidR="000C49E1">
        <w:rPr>
          <w:b/>
          <w:sz w:val="40"/>
        </w:rPr>
        <w:t xml:space="preserve"> </w:t>
      </w:r>
      <w:r w:rsidR="00123959">
        <w:rPr>
          <w:b/>
          <w:sz w:val="40"/>
        </w:rPr>
        <w:t>1</w:t>
      </w:r>
      <w:r w:rsidR="006E1A18">
        <w:rPr>
          <w:b/>
          <w:sz w:val="40"/>
        </w:rPr>
        <w:t>2</w:t>
      </w:r>
      <w:r w:rsidR="00123959">
        <w:rPr>
          <w:b/>
          <w:sz w:val="40"/>
        </w:rPr>
        <w:t>, 2017</w:t>
      </w:r>
    </w:p>
    <w:p w14:paraId="7F206A5F" w14:textId="77777777" w:rsidR="000C59DD" w:rsidRDefault="000C59DD">
      <w:pPr>
        <w:rPr>
          <w:b/>
          <w:sz w:val="32"/>
        </w:rPr>
      </w:pPr>
    </w:p>
    <w:p w14:paraId="199DC0BD" w14:textId="77777777" w:rsidR="000C49E1" w:rsidRDefault="000C49E1">
      <w:pPr>
        <w:rPr>
          <w:b/>
          <w:sz w:val="32"/>
        </w:rPr>
        <w:sectPr w:rsidR="000C49E1" w:rsidSect="00A91168">
          <w:footerReference w:type="default" r:id="rId9"/>
          <w:pgSz w:w="12240" w:h="15840"/>
          <w:pgMar w:top="360" w:right="1440" w:bottom="900" w:left="1440" w:header="720" w:footer="720" w:gutter="0"/>
          <w:cols w:space="720"/>
          <w:docGrid w:linePitch="360"/>
        </w:sectPr>
      </w:pPr>
    </w:p>
    <w:p w14:paraId="460CF80B" w14:textId="77777777" w:rsidR="00AD5F81" w:rsidRDefault="00AD5F81" w:rsidP="001C3022">
      <w:pPr>
        <w:pBdr>
          <w:bottom w:val="single" w:sz="4" w:space="1" w:color="auto"/>
        </w:pBdr>
        <w:jc w:val="center"/>
        <w:rPr>
          <w:b/>
        </w:rPr>
      </w:pPr>
    </w:p>
    <w:p w14:paraId="7A94A53E" w14:textId="77777777" w:rsidR="00AD5F81" w:rsidRDefault="00AD5F81" w:rsidP="001C3022">
      <w:pPr>
        <w:pBdr>
          <w:bottom w:val="single" w:sz="4" w:space="1" w:color="auto"/>
        </w:pBdr>
        <w:jc w:val="center"/>
        <w:rPr>
          <w:b/>
        </w:rPr>
      </w:pPr>
    </w:p>
    <w:p w14:paraId="67785058" w14:textId="77777777" w:rsidR="00E742F6" w:rsidRPr="00B9230C" w:rsidRDefault="00E742F6" w:rsidP="001C3022">
      <w:pPr>
        <w:pBdr>
          <w:bottom w:val="single" w:sz="4" w:space="1" w:color="auto"/>
        </w:pBdr>
        <w:jc w:val="center"/>
        <w:rPr>
          <w:rFonts w:asciiTheme="minorHAnsi" w:hAnsiTheme="minorHAnsi"/>
          <w:b/>
          <w:color w:val="4B116D"/>
          <w:sz w:val="32"/>
        </w:rPr>
      </w:pPr>
      <w:r w:rsidRPr="00B9230C">
        <w:rPr>
          <w:rFonts w:asciiTheme="minorHAnsi" w:hAnsiTheme="minorHAnsi"/>
          <w:b/>
          <w:color w:val="4B116D"/>
          <w:sz w:val="32"/>
        </w:rPr>
        <w:t>Our Vision</w:t>
      </w:r>
    </w:p>
    <w:p w14:paraId="0DAF366F" w14:textId="77BAC195" w:rsidR="00E742F6" w:rsidRPr="001C3022" w:rsidRDefault="005F7E38" w:rsidP="00E742F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Offering personalized attention to students, t</w:t>
      </w:r>
      <w:r w:rsidR="00E742F6" w:rsidRPr="001C3022">
        <w:rPr>
          <w:rFonts w:asciiTheme="minorHAnsi" w:hAnsiTheme="minorHAnsi"/>
        </w:rPr>
        <w:t xml:space="preserve">he University of Northern Iowa </w:t>
      </w:r>
      <w:r w:rsidR="00AC1993">
        <w:rPr>
          <w:rFonts w:asciiTheme="minorHAnsi" w:hAnsiTheme="minorHAnsi"/>
        </w:rPr>
        <w:t xml:space="preserve">will be </w:t>
      </w:r>
      <w:r w:rsidR="00E742F6" w:rsidRPr="001C3022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diverse and</w:t>
      </w:r>
      <w:r w:rsidR="00E742F6" w:rsidRPr="001C3022">
        <w:rPr>
          <w:rFonts w:asciiTheme="minorHAnsi" w:hAnsiTheme="minorHAnsi"/>
        </w:rPr>
        <w:t xml:space="preserve"> inclusive campus community</w:t>
      </w:r>
      <w:r>
        <w:rPr>
          <w:rFonts w:asciiTheme="minorHAnsi" w:hAnsiTheme="minorHAnsi"/>
        </w:rPr>
        <w:t xml:space="preserve"> that provides an</w:t>
      </w:r>
      <w:r w:rsidR="00E742F6" w:rsidRPr="001C3022">
        <w:rPr>
          <w:rFonts w:asciiTheme="minorHAnsi" w:hAnsiTheme="minorHAnsi"/>
        </w:rPr>
        <w:t xml:space="preserve"> engaged education empower</w:t>
      </w:r>
      <w:r>
        <w:rPr>
          <w:rFonts w:asciiTheme="minorHAnsi" w:hAnsiTheme="minorHAnsi"/>
        </w:rPr>
        <w:t>ing</w:t>
      </w:r>
      <w:r w:rsidR="00E742F6" w:rsidRPr="001C3022">
        <w:rPr>
          <w:rFonts w:asciiTheme="minorHAnsi" w:hAnsiTheme="minorHAnsi"/>
        </w:rPr>
        <w:t xml:space="preserve"> students to lead locally and globally</w:t>
      </w:r>
      <w:r w:rsidR="00AC1993">
        <w:rPr>
          <w:rFonts w:asciiTheme="minorHAnsi" w:hAnsiTheme="minorHAnsi"/>
        </w:rPr>
        <w:t>.</w:t>
      </w:r>
    </w:p>
    <w:p w14:paraId="15C7FA79" w14:textId="77777777" w:rsidR="00E742F6" w:rsidRPr="001C3022" w:rsidRDefault="00E742F6" w:rsidP="000C59DD">
      <w:pPr>
        <w:rPr>
          <w:rFonts w:asciiTheme="minorHAnsi" w:hAnsiTheme="minorHAnsi"/>
          <w:sz w:val="20"/>
        </w:rPr>
      </w:pPr>
    </w:p>
    <w:p w14:paraId="33E0A5A3" w14:textId="77777777" w:rsidR="00E742F6" w:rsidRPr="00B9230C" w:rsidRDefault="00E742F6" w:rsidP="001C3022">
      <w:pPr>
        <w:pBdr>
          <w:bottom w:val="single" w:sz="4" w:space="1" w:color="auto"/>
        </w:pBdr>
        <w:jc w:val="center"/>
        <w:rPr>
          <w:rFonts w:asciiTheme="minorHAnsi" w:hAnsiTheme="minorHAnsi"/>
          <w:b/>
          <w:color w:val="4B116D"/>
          <w:sz w:val="32"/>
        </w:rPr>
      </w:pPr>
      <w:r w:rsidRPr="00B9230C">
        <w:rPr>
          <w:rFonts w:asciiTheme="minorHAnsi" w:hAnsiTheme="minorHAnsi"/>
          <w:b/>
          <w:color w:val="4B116D"/>
          <w:sz w:val="32"/>
        </w:rPr>
        <w:t>Our Mission</w:t>
      </w:r>
    </w:p>
    <w:p w14:paraId="4C3F2219" w14:textId="7819BAF7" w:rsidR="00E742F6" w:rsidRDefault="00DA3762" w:rsidP="00E742F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Within a challenging and supportive environment, t</w:t>
      </w:r>
      <w:r w:rsidR="00E742F6" w:rsidRPr="001C3022">
        <w:rPr>
          <w:rFonts w:asciiTheme="minorHAnsi" w:hAnsiTheme="minorHAnsi"/>
        </w:rPr>
        <w:t xml:space="preserve">he University of Northern Iowa </w:t>
      </w:r>
      <w:r>
        <w:rPr>
          <w:rFonts w:asciiTheme="minorHAnsi" w:hAnsiTheme="minorHAnsi"/>
        </w:rPr>
        <w:t>engages students in high-quality</w:t>
      </w:r>
      <w:r w:rsidR="00BE7E9E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high-impact learning experiences and emphasizes</w:t>
      </w:r>
      <w:r w:rsidR="00E742F6" w:rsidRPr="001C3022">
        <w:rPr>
          <w:rFonts w:asciiTheme="minorHAnsi" w:hAnsiTheme="minorHAnsi"/>
        </w:rPr>
        <w:t xml:space="preserve"> excellence in teaching and scholarship.</w:t>
      </w:r>
    </w:p>
    <w:p w14:paraId="2D0C08A7" w14:textId="77777777" w:rsidR="000C59DD" w:rsidRPr="001C3022" w:rsidRDefault="000C59DD">
      <w:pPr>
        <w:rPr>
          <w:rFonts w:asciiTheme="minorHAnsi" w:hAnsiTheme="minorHAnsi"/>
          <w:b/>
          <w:sz w:val="20"/>
        </w:rPr>
      </w:pPr>
    </w:p>
    <w:p w14:paraId="41B4B3E7" w14:textId="77777777" w:rsidR="000C59DD" w:rsidRPr="00B9230C" w:rsidRDefault="001C3022" w:rsidP="001C3022">
      <w:pPr>
        <w:pBdr>
          <w:bottom w:val="single" w:sz="4" w:space="1" w:color="auto"/>
        </w:pBdr>
        <w:jc w:val="center"/>
        <w:rPr>
          <w:rFonts w:asciiTheme="minorHAnsi" w:hAnsiTheme="minorHAnsi"/>
          <w:b/>
          <w:color w:val="4B116D"/>
          <w:sz w:val="32"/>
        </w:rPr>
      </w:pPr>
      <w:r w:rsidRPr="00B9230C">
        <w:rPr>
          <w:rFonts w:asciiTheme="minorHAnsi" w:hAnsiTheme="minorHAnsi"/>
          <w:b/>
          <w:color w:val="4B116D"/>
          <w:sz w:val="32"/>
        </w:rPr>
        <w:t xml:space="preserve">Our </w:t>
      </w:r>
      <w:r w:rsidR="000C59DD" w:rsidRPr="00B9230C">
        <w:rPr>
          <w:rFonts w:asciiTheme="minorHAnsi" w:hAnsiTheme="minorHAnsi"/>
          <w:b/>
          <w:color w:val="4B116D"/>
          <w:sz w:val="32"/>
        </w:rPr>
        <w:t>Values</w:t>
      </w:r>
    </w:p>
    <w:p w14:paraId="4C667876" w14:textId="77777777" w:rsidR="000C59DD" w:rsidRPr="001C3022" w:rsidRDefault="000C59DD" w:rsidP="000C59DD">
      <w:pPr>
        <w:rPr>
          <w:rFonts w:asciiTheme="minorHAnsi" w:hAnsiTheme="minorHAnsi"/>
        </w:rPr>
      </w:pPr>
      <w:r w:rsidRPr="001C3022">
        <w:rPr>
          <w:rFonts w:asciiTheme="minorHAnsi" w:hAnsiTheme="minorHAnsi"/>
        </w:rPr>
        <w:t xml:space="preserve">As a university </w:t>
      </w:r>
      <w:proofErr w:type="gramStart"/>
      <w:r w:rsidRPr="001C3022">
        <w:rPr>
          <w:rFonts w:asciiTheme="minorHAnsi" w:hAnsiTheme="minorHAnsi"/>
        </w:rPr>
        <w:t>community</w:t>
      </w:r>
      <w:proofErr w:type="gramEnd"/>
      <w:r w:rsidRPr="001C3022">
        <w:rPr>
          <w:rFonts w:asciiTheme="minorHAnsi" w:hAnsiTheme="minorHAnsi"/>
        </w:rPr>
        <w:t xml:space="preserve"> we are guided by the following core values:</w:t>
      </w:r>
    </w:p>
    <w:p w14:paraId="12283504" w14:textId="77777777" w:rsidR="00E742F6" w:rsidRPr="001C3022" w:rsidRDefault="00E742F6" w:rsidP="00E742F6">
      <w:pPr>
        <w:rPr>
          <w:rFonts w:asciiTheme="minorHAnsi" w:eastAsia="MS Mincho" w:hAnsiTheme="minorHAnsi"/>
        </w:rPr>
      </w:pPr>
    </w:p>
    <w:p w14:paraId="2B868E61" w14:textId="77777777" w:rsidR="00E742F6" w:rsidRPr="001C3022" w:rsidRDefault="00E742F6" w:rsidP="00E742F6">
      <w:pPr>
        <w:rPr>
          <w:rFonts w:asciiTheme="minorHAnsi" w:eastAsia="MS Mincho" w:hAnsiTheme="minorHAnsi"/>
          <w:b/>
        </w:rPr>
      </w:pPr>
      <w:r w:rsidRPr="001C3022">
        <w:rPr>
          <w:rFonts w:asciiTheme="minorHAnsi" w:eastAsia="MS Mincho" w:hAnsiTheme="minorHAnsi"/>
          <w:b/>
        </w:rPr>
        <w:t>Academic Freedom</w:t>
      </w:r>
    </w:p>
    <w:p w14:paraId="6410F45B" w14:textId="6D6E83A5" w:rsidR="00E742F6" w:rsidRPr="001C3022" w:rsidRDefault="00DA3762" w:rsidP="00E742F6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Cs/>
          <w:color w:val="000000"/>
        </w:rPr>
        <w:t>T</w:t>
      </w:r>
      <w:r w:rsidR="00E742F6" w:rsidRPr="001C3022">
        <w:rPr>
          <w:rFonts w:asciiTheme="minorHAnsi" w:eastAsia="Times New Roman" w:hAnsiTheme="minorHAnsi"/>
          <w:bCs/>
          <w:color w:val="000000"/>
        </w:rPr>
        <w:t>he freedom of in</w:t>
      </w:r>
      <w:r w:rsidR="00557FB8" w:rsidRPr="001C3022">
        <w:rPr>
          <w:rFonts w:asciiTheme="minorHAnsi" w:eastAsia="Times New Roman" w:hAnsiTheme="minorHAnsi"/>
          <w:bCs/>
          <w:color w:val="000000"/>
        </w:rPr>
        <w:t>quiry</w:t>
      </w:r>
      <w:r>
        <w:rPr>
          <w:rFonts w:asciiTheme="minorHAnsi" w:eastAsia="Times New Roman" w:hAnsiTheme="minorHAnsi"/>
          <w:bCs/>
          <w:color w:val="000000"/>
        </w:rPr>
        <w:t xml:space="preserve"> and </w:t>
      </w:r>
      <w:r w:rsidR="00557FB8" w:rsidRPr="001C3022">
        <w:rPr>
          <w:rFonts w:asciiTheme="minorHAnsi" w:eastAsia="Times New Roman" w:hAnsiTheme="minorHAnsi"/>
          <w:bCs/>
          <w:color w:val="000000"/>
        </w:rPr>
        <w:t xml:space="preserve">expression </w:t>
      </w:r>
      <w:r>
        <w:rPr>
          <w:rFonts w:asciiTheme="minorHAnsi" w:eastAsia="Times New Roman" w:hAnsiTheme="minorHAnsi"/>
          <w:bCs/>
          <w:color w:val="000000"/>
        </w:rPr>
        <w:t xml:space="preserve">in </w:t>
      </w:r>
      <w:r w:rsidR="00557FB8" w:rsidRPr="001C3022">
        <w:rPr>
          <w:rFonts w:asciiTheme="minorHAnsi" w:eastAsia="Times New Roman" w:hAnsiTheme="minorHAnsi"/>
          <w:bCs/>
          <w:color w:val="000000"/>
        </w:rPr>
        <w:t>teaching</w:t>
      </w:r>
      <w:r>
        <w:rPr>
          <w:rFonts w:asciiTheme="minorHAnsi" w:eastAsia="Times New Roman" w:hAnsiTheme="minorHAnsi"/>
          <w:bCs/>
          <w:color w:val="000000"/>
        </w:rPr>
        <w:t xml:space="preserve"> and scholarship.</w:t>
      </w:r>
    </w:p>
    <w:p w14:paraId="797B2E15" w14:textId="77777777" w:rsidR="00E742F6" w:rsidRPr="001C3022" w:rsidRDefault="00E742F6" w:rsidP="00E742F6">
      <w:pPr>
        <w:rPr>
          <w:rFonts w:asciiTheme="minorHAnsi" w:eastAsia="MS Mincho" w:hAnsiTheme="minorHAnsi"/>
        </w:rPr>
      </w:pPr>
    </w:p>
    <w:p w14:paraId="05A3D278" w14:textId="77777777" w:rsidR="00E742F6" w:rsidRPr="001C3022" w:rsidRDefault="00E742F6" w:rsidP="00E742F6">
      <w:pPr>
        <w:rPr>
          <w:rFonts w:asciiTheme="minorHAnsi" w:eastAsia="MS Mincho" w:hAnsiTheme="minorHAnsi"/>
          <w:b/>
        </w:rPr>
      </w:pPr>
      <w:r w:rsidRPr="001C3022">
        <w:rPr>
          <w:rFonts w:asciiTheme="minorHAnsi" w:eastAsia="MS Mincho" w:hAnsiTheme="minorHAnsi"/>
          <w:b/>
        </w:rPr>
        <w:t>Access</w:t>
      </w:r>
    </w:p>
    <w:p w14:paraId="78CDFC5D" w14:textId="61414C6C" w:rsidR="00E742F6" w:rsidRPr="001C3022" w:rsidRDefault="00E742F6" w:rsidP="000C49E1">
      <w:pPr>
        <w:spacing w:after="120"/>
        <w:rPr>
          <w:rFonts w:asciiTheme="minorHAnsi" w:eastAsia="Times New Roman" w:hAnsiTheme="minorHAnsi"/>
        </w:rPr>
      </w:pPr>
      <w:r w:rsidRPr="001C3022">
        <w:rPr>
          <w:rFonts w:asciiTheme="minorHAnsi" w:eastAsia="Times New Roman" w:hAnsiTheme="minorHAnsi"/>
          <w:bCs/>
          <w:color w:val="000000"/>
        </w:rPr>
        <w:t>An inclusive educational environment that is accessible and affordable</w:t>
      </w:r>
      <w:r w:rsidR="00D83679">
        <w:rPr>
          <w:rFonts w:asciiTheme="minorHAnsi" w:eastAsia="Times New Roman" w:hAnsiTheme="minorHAnsi"/>
          <w:bCs/>
          <w:color w:val="000000"/>
        </w:rPr>
        <w:t>.</w:t>
      </w:r>
    </w:p>
    <w:p w14:paraId="11577386" w14:textId="77777777" w:rsidR="00E742F6" w:rsidRPr="001C3022" w:rsidRDefault="00E742F6" w:rsidP="00E742F6">
      <w:pPr>
        <w:rPr>
          <w:rFonts w:asciiTheme="minorHAnsi" w:eastAsia="MS Mincho" w:hAnsiTheme="minorHAnsi"/>
          <w:b/>
        </w:rPr>
      </w:pPr>
      <w:r w:rsidRPr="001C3022">
        <w:rPr>
          <w:rFonts w:asciiTheme="minorHAnsi" w:eastAsia="MS Mincho" w:hAnsiTheme="minorHAnsi"/>
          <w:b/>
        </w:rPr>
        <w:t>Accountability</w:t>
      </w:r>
    </w:p>
    <w:p w14:paraId="62F79958" w14:textId="2E203B29" w:rsidR="00E742F6" w:rsidRPr="001C3022" w:rsidRDefault="00E1241C" w:rsidP="000C49E1">
      <w:pPr>
        <w:spacing w:after="1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Cs/>
          <w:color w:val="000000"/>
        </w:rPr>
        <w:t xml:space="preserve">A commitment to </w:t>
      </w:r>
      <w:r w:rsidR="00BC7837">
        <w:rPr>
          <w:rFonts w:asciiTheme="minorHAnsi" w:eastAsia="Times New Roman" w:hAnsiTheme="minorHAnsi"/>
          <w:bCs/>
          <w:color w:val="000000"/>
        </w:rPr>
        <w:t>i</w:t>
      </w:r>
      <w:r w:rsidR="00E742F6" w:rsidRPr="001C3022">
        <w:rPr>
          <w:rFonts w:asciiTheme="minorHAnsi" w:eastAsia="Times New Roman" w:hAnsiTheme="minorHAnsi"/>
          <w:bCs/>
          <w:color w:val="000000"/>
        </w:rPr>
        <w:t xml:space="preserve">ntegrity, responsibility, and the highest ethical standards integrated into all </w:t>
      </w:r>
      <w:r>
        <w:rPr>
          <w:rFonts w:asciiTheme="minorHAnsi" w:eastAsia="Times New Roman" w:hAnsiTheme="minorHAnsi"/>
          <w:bCs/>
          <w:color w:val="000000"/>
        </w:rPr>
        <w:t>U</w:t>
      </w:r>
      <w:r w:rsidR="00E742F6" w:rsidRPr="001C3022">
        <w:rPr>
          <w:rFonts w:asciiTheme="minorHAnsi" w:eastAsia="Times New Roman" w:hAnsiTheme="minorHAnsi"/>
          <w:bCs/>
          <w:color w:val="000000"/>
        </w:rPr>
        <w:t>niversity practices</w:t>
      </w:r>
      <w:r w:rsidR="00921890">
        <w:rPr>
          <w:rFonts w:asciiTheme="minorHAnsi" w:eastAsia="Times New Roman" w:hAnsiTheme="minorHAnsi"/>
          <w:bCs/>
          <w:color w:val="000000"/>
        </w:rPr>
        <w:t>.</w:t>
      </w:r>
    </w:p>
    <w:p w14:paraId="35E59C21" w14:textId="77777777" w:rsidR="00092D6C" w:rsidRPr="001C3022" w:rsidRDefault="00092D6C" w:rsidP="00092D6C">
      <w:pPr>
        <w:rPr>
          <w:rFonts w:asciiTheme="minorHAnsi" w:eastAsia="MS Mincho" w:hAnsiTheme="minorHAnsi"/>
          <w:b/>
        </w:rPr>
      </w:pPr>
      <w:r w:rsidRPr="001C3022">
        <w:rPr>
          <w:rFonts w:asciiTheme="minorHAnsi" w:eastAsia="MS Mincho" w:hAnsiTheme="minorHAnsi"/>
          <w:b/>
        </w:rPr>
        <w:t>Collaboration</w:t>
      </w:r>
    </w:p>
    <w:p w14:paraId="44A35BCE" w14:textId="26BB417B" w:rsidR="00092D6C" w:rsidRDefault="00092D6C" w:rsidP="00092D6C">
      <w:pPr>
        <w:spacing w:after="120" w:line="360" w:lineRule="auto"/>
        <w:rPr>
          <w:rFonts w:asciiTheme="minorHAnsi" w:eastAsia="Times New Roman" w:hAnsiTheme="minorHAnsi"/>
          <w:bCs/>
          <w:color w:val="000000"/>
        </w:rPr>
      </w:pPr>
      <w:r w:rsidRPr="001C3022">
        <w:rPr>
          <w:rFonts w:asciiTheme="minorHAnsi" w:eastAsia="Times New Roman" w:hAnsiTheme="minorHAnsi"/>
          <w:bCs/>
          <w:color w:val="000000"/>
        </w:rPr>
        <w:t>A commitment to work together to ach</w:t>
      </w:r>
      <w:r w:rsidR="00BE3A8D">
        <w:rPr>
          <w:rFonts w:asciiTheme="minorHAnsi" w:eastAsia="Times New Roman" w:hAnsiTheme="minorHAnsi"/>
          <w:bCs/>
          <w:color w:val="000000"/>
        </w:rPr>
        <w:t>ieve our shared vision, mission</w:t>
      </w:r>
      <w:r w:rsidR="00E1241C">
        <w:rPr>
          <w:rFonts w:asciiTheme="minorHAnsi" w:eastAsia="Times New Roman" w:hAnsiTheme="minorHAnsi"/>
          <w:bCs/>
          <w:color w:val="000000"/>
        </w:rPr>
        <w:t>,</w:t>
      </w:r>
      <w:r w:rsidRPr="001C3022">
        <w:rPr>
          <w:rFonts w:asciiTheme="minorHAnsi" w:eastAsia="Times New Roman" w:hAnsiTheme="minorHAnsi"/>
          <w:bCs/>
          <w:color w:val="000000"/>
        </w:rPr>
        <w:t xml:space="preserve"> and goals.</w:t>
      </w:r>
    </w:p>
    <w:p w14:paraId="4FC2B19D" w14:textId="77777777" w:rsidR="00E742F6" w:rsidRPr="001C3022" w:rsidRDefault="00E742F6" w:rsidP="00E742F6">
      <w:pPr>
        <w:rPr>
          <w:rFonts w:asciiTheme="minorHAnsi" w:eastAsia="MS Mincho" w:hAnsiTheme="minorHAnsi"/>
          <w:b/>
        </w:rPr>
      </w:pPr>
      <w:r w:rsidRPr="001C3022">
        <w:rPr>
          <w:rFonts w:asciiTheme="minorHAnsi" w:eastAsia="MS Mincho" w:hAnsiTheme="minorHAnsi"/>
          <w:b/>
        </w:rPr>
        <w:t>Community</w:t>
      </w:r>
    </w:p>
    <w:p w14:paraId="7B24BC68" w14:textId="25BFB113" w:rsidR="00E742F6" w:rsidRPr="001C3022" w:rsidRDefault="00921890" w:rsidP="000C49E1">
      <w:pPr>
        <w:spacing w:after="1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Cs/>
          <w:color w:val="000000"/>
        </w:rPr>
        <w:t>A caring</w:t>
      </w:r>
      <w:r w:rsidR="00E742F6" w:rsidRPr="001C3022">
        <w:rPr>
          <w:rFonts w:asciiTheme="minorHAnsi" w:eastAsia="Times New Roman" w:hAnsiTheme="minorHAnsi"/>
          <w:bCs/>
          <w:color w:val="000000"/>
        </w:rPr>
        <w:t xml:space="preserve"> and safe community</w:t>
      </w:r>
      <w:r>
        <w:rPr>
          <w:rFonts w:asciiTheme="minorHAnsi" w:eastAsia="Times New Roman" w:hAnsiTheme="minorHAnsi"/>
          <w:bCs/>
          <w:color w:val="000000"/>
        </w:rPr>
        <w:t>,</w:t>
      </w:r>
      <w:r w:rsidR="00E742F6" w:rsidRPr="001C3022">
        <w:rPr>
          <w:rFonts w:asciiTheme="minorHAnsi" w:eastAsia="Times New Roman" w:hAnsiTheme="minorHAnsi"/>
          <w:bCs/>
          <w:color w:val="000000"/>
        </w:rPr>
        <w:t xml:space="preserve"> characterized by civility and respect</w:t>
      </w:r>
      <w:r>
        <w:rPr>
          <w:rFonts w:asciiTheme="minorHAnsi" w:eastAsia="Times New Roman" w:hAnsiTheme="minorHAnsi"/>
          <w:bCs/>
          <w:color w:val="000000"/>
        </w:rPr>
        <w:t>, which</w:t>
      </w:r>
      <w:r w:rsidR="00E742F6" w:rsidRPr="001C3022">
        <w:rPr>
          <w:rFonts w:asciiTheme="minorHAnsi" w:eastAsia="Times New Roman" w:hAnsiTheme="minorHAnsi"/>
          <w:bCs/>
          <w:color w:val="000000"/>
        </w:rPr>
        <w:t xml:space="preserve"> stands in solidarity against any actions that exclude, discriminate against, or silence members of our community.</w:t>
      </w:r>
    </w:p>
    <w:p w14:paraId="4B5CE2F5" w14:textId="77777777" w:rsidR="00E742F6" w:rsidRPr="001C3022" w:rsidRDefault="00E742F6" w:rsidP="00E742F6">
      <w:pPr>
        <w:rPr>
          <w:rFonts w:asciiTheme="minorHAnsi" w:eastAsia="MS Mincho" w:hAnsiTheme="minorHAnsi"/>
          <w:b/>
        </w:rPr>
      </w:pPr>
      <w:r w:rsidRPr="001C3022">
        <w:rPr>
          <w:rFonts w:asciiTheme="minorHAnsi" w:eastAsia="MS Mincho" w:hAnsiTheme="minorHAnsi"/>
          <w:b/>
        </w:rPr>
        <w:t>Diversity</w:t>
      </w:r>
    </w:p>
    <w:p w14:paraId="457BB08A" w14:textId="0C85DDB9" w:rsidR="00E742F6" w:rsidRPr="001C3022" w:rsidRDefault="00D32F86" w:rsidP="000C49E1">
      <w:pPr>
        <w:spacing w:after="1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Cs/>
          <w:color w:val="000000"/>
        </w:rPr>
        <w:t>The cultivation</w:t>
      </w:r>
      <w:r w:rsidR="00E742F6" w:rsidRPr="001C3022">
        <w:rPr>
          <w:rFonts w:asciiTheme="minorHAnsi" w:eastAsia="Times New Roman" w:hAnsiTheme="minorHAnsi"/>
          <w:bCs/>
          <w:color w:val="000000"/>
        </w:rPr>
        <w:t xml:space="preserve"> </w:t>
      </w:r>
      <w:r w:rsidR="00CF0648">
        <w:rPr>
          <w:rFonts w:asciiTheme="minorHAnsi" w:eastAsia="Times New Roman" w:hAnsiTheme="minorHAnsi"/>
          <w:bCs/>
          <w:color w:val="000000"/>
        </w:rPr>
        <w:t>o</w:t>
      </w:r>
      <w:r w:rsidR="00E742F6" w:rsidRPr="001C3022">
        <w:rPr>
          <w:rFonts w:asciiTheme="minorHAnsi" w:eastAsia="Times New Roman" w:hAnsiTheme="minorHAnsi"/>
          <w:bCs/>
          <w:color w:val="000000"/>
        </w:rPr>
        <w:t>f a diverse and inclusive learning and work environment</w:t>
      </w:r>
      <w:r w:rsidR="00CF0648">
        <w:rPr>
          <w:rFonts w:asciiTheme="minorHAnsi" w:eastAsia="Times New Roman" w:hAnsiTheme="minorHAnsi"/>
          <w:bCs/>
          <w:color w:val="000000"/>
        </w:rPr>
        <w:t>.</w:t>
      </w:r>
    </w:p>
    <w:p w14:paraId="35306850" w14:textId="77777777" w:rsidR="00E742F6" w:rsidRPr="001C3022" w:rsidRDefault="00E742F6" w:rsidP="00E742F6">
      <w:pPr>
        <w:rPr>
          <w:rFonts w:asciiTheme="minorHAnsi" w:eastAsia="MS Mincho" w:hAnsiTheme="minorHAnsi"/>
          <w:b/>
        </w:rPr>
      </w:pPr>
      <w:r w:rsidRPr="001C3022">
        <w:rPr>
          <w:rFonts w:asciiTheme="minorHAnsi" w:eastAsia="MS Mincho" w:hAnsiTheme="minorHAnsi"/>
          <w:b/>
        </w:rPr>
        <w:t>Engagement</w:t>
      </w:r>
    </w:p>
    <w:p w14:paraId="1D1E9829" w14:textId="037096D9" w:rsidR="00E742F6" w:rsidRPr="001C3022" w:rsidRDefault="00E742F6" w:rsidP="000C49E1">
      <w:pPr>
        <w:spacing w:after="120"/>
        <w:rPr>
          <w:rFonts w:asciiTheme="minorHAnsi" w:eastAsia="Times New Roman" w:hAnsiTheme="minorHAnsi"/>
        </w:rPr>
      </w:pPr>
      <w:r w:rsidRPr="001C3022">
        <w:rPr>
          <w:rFonts w:asciiTheme="minorHAnsi" w:eastAsia="Times New Roman" w:hAnsiTheme="minorHAnsi"/>
          <w:bCs/>
          <w:color w:val="000000"/>
        </w:rPr>
        <w:t>Active participation in transformat</w:t>
      </w:r>
      <w:r w:rsidR="00E1241C">
        <w:rPr>
          <w:rFonts w:asciiTheme="minorHAnsi" w:eastAsia="Times New Roman" w:hAnsiTheme="minorHAnsi"/>
          <w:bCs/>
          <w:color w:val="000000"/>
        </w:rPr>
        <w:t>ive</w:t>
      </w:r>
      <w:r w:rsidRPr="001C3022">
        <w:rPr>
          <w:rFonts w:asciiTheme="minorHAnsi" w:eastAsia="Times New Roman" w:hAnsiTheme="minorHAnsi"/>
          <w:bCs/>
          <w:color w:val="000000"/>
        </w:rPr>
        <w:t>, innovat</w:t>
      </w:r>
      <w:r w:rsidR="00E1241C">
        <w:rPr>
          <w:rFonts w:asciiTheme="minorHAnsi" w:eastAsia="Times New Roman" w:hAnsiTheme="minorHAnsi"/>
          <w:bCs/>
          <w:color w:val="000000"/>
        </w:rPr>
        <w:t>ive</w:t>
      </w:r>
      <w:r w:rsidRPr="001C3022">
        <w:rPr>
          <w:rFonts w:asciiTheme="minorHAnsi" w:eastAsia="Times New Roman" w:hAnsiTheme="minorHAnsi"/>
          <w:bCs/>
          <w:color w:val="000000"/>
        </w:rPr>
        <w:t>, and lifelong learning in service to humanity</w:t>
      </w:r>
      <w:r w:rsidR="00D83679">
        <w:rPr>
          <w:rFonts w:asciiTheme="minorHAnsi" w:eastAsia="Times New Roman" w:hAnsiTheme="minorHAnsi"/>
          <w:bCs/>
          <w:color w:val="000000"/>
        </w:rPr>
        <w:t>.</w:t>
      </w:r>
    </w:p>
    <w:p w14:paraId="39C0213B" w14:textId="77777777" w:rsidR="00E742F6" w:rsidRPr="001C3022" w:rsidRDefault="00E742F6" w:rsidP="00E742F6">
      <w:pPr>
        <w:rPr>
          <w:rFonts w:asciiTheme="minorHAnsi" w:eastAsia="MS Mincho" w:hAnsiTheme="minorHAnsi"/>
          <w:b/>
        </w:rPr>
      </w:pPr>
      <w:r w:rsidRPr="001C3022">
        <w:rPr>
          <w:rFonts w:asciiTheme="minorHAnsi" w:eastAsia="MS Mincho" w:hAnsiTheme="minorHAnsi"/>
          <w:b/>
        </w:rPr>
        <w:t>Excellence</w:t>
      </w:r>
    </w:p>
    <w:p w14:paraId="1AC7A116" w14:textId="5CC1AC20" w:rsidR="00E742F6" w:rsidRPr="001C3022" w:rsidRDefault="00E742F6" w:rsidP="000C49E1">
      <w:pPr>
        <w:spacing w:after="120"/>
        <w:rPr>
          <w:rFonts w:asciiTheme="minorHAnsi" w:eastAsia="Times New Roman" w:hAnsiTheme="minorHAnsi"/>
        </w:rPr>
      </w:pPr>
      <w:r w:rsidRPr="001C3022">
        <w:rPr>
          <w:rFonts w:asciiTheme="minorHAnsi" w:eastAsia="Times New Roman" w:hAnsiTheme="minorHAnsi"/>
          <w:bCs/>
          <w:color w:val="000000"/>
        </w:rPr>
        <w:t xml:space="preserve">A commitment to </w:t>
      </w:r>
      <w:r w:rsidR="00FF31A2">
        <w:rPr>
          <w:rFonts w:asciiTheme="minorHAnsi" w:eastAsia="Times New Roman" w:hAnsiTheme="minorHAnsi"/>
          <w:bCs/>
          <w:color w:val="000000"/>
        </w:rPr>
        <w:t xml:space="preserve">the pursuit of </w:t>
      </w:r>
      <w:r w:rsidRPr="001C3022">
        <w:rPr>
          <w:rFonts w:asciiTheme="minorHAnsi" w:eastAsia="Times New Roman" w:hAnsiTheme="minorHAnsi"/>
          <w:bCs/>
          <w:color w:val="000000"/>
        </w:rPr>
        <w:t>excellence in individual and collective endeavors.</w:t>
      </w:r>
    </w:p>
    <w:p w14:paraId="777B9BDC" w14:textId="77777777" w:rsidR="00E742F6" w:rsidRPr="001C3022" w:rsidRDefault="00E742F6" w:rsidP="00E742F6">
      <w:pPr>
        <w:rPr>
          <w:rFonts w:asciiTheme="minorHAnsi" w:eastAsia="MS Mincho" w:hAnsiTheme="minorHAnsi"/>
          <w:b/>
        </w:rPr>
      </w:pPr>
      <w:r w:rsidRPr="001C3022">
        <w:rPr>
          <w:rFonts w:asciiTheme="minorHAnsi" w:eastAsia="MS Mincho" w:hAnsiTheme="minorHAnsi"/>
          <w:b/>
        </w:rPr>
        <w:t>Sustainability</w:t>
      </w:r>
    </w:p>
    <w:p w14:paraId="5C174314" w14:textId="78CBD3FC" w:rsidR="00E742F6" w:rsidRPr="001C3022" w:rsidRDefault="00E742F6" w:rsidP="000C49E1">
      <w:pPr>
        <w:spacing w:after="120"/>
        <w:rPr>
          <w:rFonts w:asciiTheme="minorHAnsi" w:eastAsia="MS Mincho" w:hAnsiTheme="minorHAnsi"/>
        </w:rPr>
      </w:pPr>
      <w:r w:rsidRPr="001C3022">
        <w:rPr>
          <w:rFonts w:asciiTheme="minorHAnsi" w:eastAsia="Times New Roman" w:hAnsiTheme="minorHAnsi"/>
          <w:bCs/>
          <w:color w:val="000000"/>
        </w:rPr>
        <w:t>A vibrant community and campus that is economically sound, environmentally responsible</w:t>
      </w:r>
      <w:r w:rsidR="00E1241C">
        <w:rPr>
          <w:rFonts w:asciiTheme="minorHAnsi" w:eastAsia="Times New Roman" w:hAnsiTheme="minorHAnsi"/>
          <w:bCs/>
          <w:color w:val="000000"/>
        </w:rPr>
        <w:t>,</w:t>
      </w:r>
      <w:r w:rsidRPr="001C3022">
        <w:rPr>
          <w:rFonts w:asciiTheme="minorHAnsi" w:eastAsia="Times New Roman" w:hAnsiTheme="minorHAnsi"/>
          <w:bCs/>
          <w:color w:val="000000"/>
        </w:rPr>
        <w:t xml:space="preserve"> and socially just. </w:t>
      </w:r>
    </w:p>
    <w:p w14:paraId="2EB6DB96" w14:textId="77777777" w:rsidR="00AD5F81" w:rsidRDefault="00AD5F81" w:rsidP="00BF7AC6">
      <w:pPr>
        <w:spacing w:after="120"/>
        <w:ind w:right="-180"/>
        <w:rPr>
          <w:b/>
          <w:color w:val="4B116D"/>
          <w:sz w:val="32"/>
        </w:rPr>
      </w:pPr>
    </w:p>
    <w:p w14:paraId="6FF3080C" w14:textId="77777777" w:rsidR="00412D94" w:rsidRPr="000C49E1" w:rsidRDefault="00412D94" w:rsidP="00BF7AC6">
      <w:pPr>
        <w:spacing w:after="120"/>
        <w:ind w:right="-180"/>
        <w:rPr>
          <w:b/>
          <w:color w:val="4B116D"/>
          <w:sz w:val="32"/>
        </w:rPr>
      </w:pPr>
      <w:r w:rsidRPr="000C49E1">
        <w:rPr>
          <w:b/>
          <w:color w:val="4B116D"/>
          <w:sz w:val="32"/>
        </w:rPr>
        <w:lastRenderedPageBreak/>
        <w:t>Unifying Goal:  Student Success</w:t>
      </w:r>
    </w:p>
    <w:p w14:paraId="5988B4EF" w14:textId="4D60D255" w:rsidR="00412D94" w:rsidRPr="00BD4DB8" w:rsidRDefault="001A705F" w:rsidP="001C3022">
      <w:pPr>
        <w:spacing w:line="360" w:lineRule="auto"/>
        <w:rPr>
          <w:b/>
          <w:sz w:val="28"/>
        </w:rPr>
      </w:pPr>
      <w:r w:rsidRPr="001A705F">
        <w:rPr>
          <w:b/>
          <w:sz w:val="28"/>
        </w:rPr>
        <w:t>Develop and support</w:t>
      </w:r>
      <w:r w:rsidR="00DA3762">
        <w:rPr>
          <w:b/>
          <w:sz w:val="28"/>
        </w:rPr>
        <w:t xml:space="preserve"> engaged learning experiences,</w:t>
      </w:r>
      <w:r w:rsidRPr="001A705F">
        <w:rPr>
          <w:b/>
          <w:sz w:val="28"/>
        </w:rPr>
        <w:t xml:space="preserve"> dynamic and high</w:t>
      </w:r>
      <w:r w:rsidR="00380063">
        <w:rPr>
          <w:b/>
          <w:sz w:val="28"/>
        </w:rPr>
        <w:t>-</w:t>
      </w:r>
      <w:r w:rsidRPr="001A705F">
        <w:rPr>
          <w:b/>
          <w:sz w:val="28"/>
        </w:rPr>
        <w:t xml:space="preserve">quality academic programs, </w:t>
      </w:r>
      <w:r w:rsidR="00DA3762">
        <w:rPr>
          <w:b/>
          <w:sz w:val="28"/>
        </w:rPr>
        <w:t xml:space="preserve">and </w:t>
      </w:r>
      <w:r w:rsidRPr="001A705F">
        <w:rPr>
          <w:b/>
          <w:sz w:val="28"/>
        </w:rPr>
        <w:t xml:space="preserve">outstanding faculty </w:t>
      </w:r>
      <w:r w:rsidR="00C84BFF">
        <w:rPr>
          <w:b/>
          <w:sz w:val="28"/>
        </w:rPr>
        <w:t>and</w:t>
      </w:r>
      <w:r w:rsidRPr="001A705F">
        <w:rPr>
          <w:b/>
          <w:sz w:val="28"/>
        </w:rPr>
        <w:t xml:space="preserve"> staff</w:t>
      </w:r>
      <w:r w:rsidR="00C84BFF">
        <w:rPr>
          <w:b/>
          <w:sz w:val="28"/>
        </w:rPr>
        <w:t xml:space="preserve"> to</w:t>
      </w:r>
      <w:r>
        <w:rPr>
          <w:b/>
          <w:sz w:val="28"/>
        </w:rPr>
        <w:t xml:space="preserve"> </w:t>
      </w:r>
      <w:r w:rsidR="00C84BFF">
        <w:rPr>
          <w:b/>
          <w:sz w:val="28"/>
        </w:rPr>
        <w:t>foster</w:t>
      </w:r>
      <w:r>
        <w:rPr>
          <w:b/>
          <w:sz w:val="28"/>
        </w:rPr>
        <w:t xml:space="preserve"> student success</w:t>
      </w:r>
      <w:r w:rsidR="00E702CE">
        <w:rPr>
          <w:b/>
          <w:sz w:val="28"/>
        </w:rPr>
        <w:t>.</w:t>
      </w:r>
    </w:p>
    <w:p w14:paraId="6C922956" w14:textId="77777777" w:rsidR="00BC7D15" w:rsidRDefault="00BC7D15" w:rsidP="00EF3F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3959" w14:paraId="792D1D3C" w14:textId="77777777" w:rsidTr="00123959">
        <w:tc>
          <w:tcPr>
            <w:tcW w:w="9360" w:type="dxa"/>
            <w:shd w:val="clear" w:color="auto" w:fill="4B116D"/>
          </w:tcPr>
          <w:p w14:paraId="06BF6FB5" w14:textId="539C8238" w:rsidR="00123959" w:rsidRPr="00EF3F40" w:rsidRDefault="00123959" w:rsidP="00EF3F40">
            <w:pPr>
              <w:rPr>
                <w:rFonts w:asciiTheme="minorHAnsi" w:hAnsiTheme="minorHAnsi"/>
                <w:b/>
              </w:rPr>
            </w:pPr>
            <w:r w:rsidRPr="00EF3F40">
              <w:rPr>
                <w:rFonts w:asciiTheme="minorHAnsi" w:hAnsiTheme="minorHAnsi"/>
                <w:b/>
              </w:rPr>
              <w:t>Strategic Initiatives:</w:t>
            </w:r>
            <w:r w:rsidRPr="00EF3F40">
              <w:rPr>
                <w:rFonts w:asciiTheme="minorHAnsi" w:hAnsiTheme="minorHAnsi"/>
              </w:rPr>
              <w:t xml:space="preserve">  </w:t>
            </w:r>
          </w:p>
        </w:tc>
      </w:tr>
      <w:tr w:rsidR="002D13FC" w14:paraId="1EDEB351" w14:textId="77777777" w:rsidTr="002D13FC">
        <w:tc>
          <w:tcPr>
            <w:tcW w:w="9360" w:type="dxa"/>
          </w:tcPr>
          <w:p w14:paraId="0616D395" w14:textId="12BAED0C" w:rsidR="002D13FC" w:rsidRDefault="002D13FC" w:rsidP="003A7E4E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Enhance and increase engaged student learning and high-impact experiences on and off campus, inside and outside of the classroom.</w:t>
            </w:r>
          </w:p>
          <w:p w14:paraId="34BF9CD9" w14:textId="1671EFEE" w:rsidR="002D13FC" w:rsidRDefault="002D13FC" w:rsidP="003A7E4E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Introduce new academic programs, including interdisciplinary programs, in a timely fashion, and complete ongoing evaluation of all academic programs.</w:t>
            </w:r>
          </w:p>
          <w:p w14:paraId="35F100A2" w14:textId="57600E11" w:rsidR="002D13FC" w:rsidRDefault="002D13FC" w:rsidP="003A7E4E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Strengthen the liberal arts core to provide a foundation for all majors.</w:t>
            </w:r>
          </w:p>
          <w:p w14:paraId="7A9623C6" w14:textId="3E90759D" w:rsidR="002D13FC" w:rsidRDefault="002D13FC" w:rsidP="00683C12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contextualSpacing w:val="0"/>
            </w:pPr>
            <w:r>
              <w:t>Recruit, develop, and retain outstanding faculty and staff, and recognize and support service, teaching and scholarship.</w:t>
            </w:r>
          </w:p>
          <w:p w14:paraId="79B20B7C" w14:textId="321B8E4C" w:rsidR="002D13FC" w:rsidRDefault="002D13FC" w:rsidP="004C56E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contextualSpacing w:val="0"/>
            </w:pPr>
            <w:r>
              <w:t>Advance knowledge through all forms of scholarship and creative endeavors.</w:t>
            </w:r>
          </w:p>
        </w:tc>
      </w:tr>
    </w:tbl>
    <w:tbl>
      <w:tblPr>
        <w:tblW w:w="9435" w:type="dxa"/>
        <w:tblLook w:val="04A0" w:firstRow="1" w:lastRow="0" w:firstColumn="1" w:lastColumn="0" w:noHBand="0" w:noVBand="1"/>
      </w:tblPr>
      <w:tblGrid>
        <w:gridCol w:w="6897"/>
        <w:gridCol w:w="1360"/>
        <w:gridCol w:w="1178"/>
      </w:tblGrid>
      <w:tr w:rsidR="002C3231" w:rsidRPr="00123959" w14:paraId="48C85E02" w14:textId="77777777" w:rsidTr="002C3231">
        <w:trPr>
          <w:trHeight w:val="577"/>
        </w:trPr>
        <w:tc>
          <w:tcPr>
            <w:tcW w:w="6897" w:type="dxa"/>
            <w:shd w:val="clear" w:color="auto" w:fill="4B116D"/>
            <w:vAlign w:val="bottom"/>
            <w:hideMark/>
          </w:tcPr>
          <w:p w14:paraId="6DDA6028" w14:textId="77777777" w:rsidR="00123959" w:rsidRPr="00123959" w:rsidRDefault="00123959" w:rsidP="00123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  <w:t>METRIC</w:t>
            </w:r>
          </w:p>
        </w:tc>
        <w:tc>
          <w:tcPr>
            <w:tcW w:w="1360" w:type="dxa"/>
            <w:shd w:val="clear" w:color="auto" w:fill="4B116D"/>
            <w:vAlign w:val="bottom"/>
            <w:hideMark/>
          </w:tcPr>
          <w:p w14:paraId="6DA7C39B" w14:textId="77777777" w:rsidR="00123959" w:rsidRPr="00123959" w:rsidRDefault="00123959" w:rsidP="00123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  <w:t>BASE YEAR</w:t>
            </w:r>
          </w:p>
        </w:tc>
        <w:tc>
          <w:tcPr>
            <w:tcW w:w="1178" w:type="dxa"/>
            <w:shd w:val="clear" w:color="auto" w:fill="4B116D"/>
            <w:vAlign w:val="bottom"/>
            <w:hideMark/>
          </w:tcPr>
          <w:p w14:paraId="580812DC" w14:textId="77777777" w:rsidR="00123959" w:rsidRPr="00123959" w:rsidRDefault="00123959" w:rsidP="00123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  <w:t>5 YR. TARGET</w:t>
            </w:r>
          </w:p>
        </w:tc>
      </w:tr>
      <w:tr w:rsidR="002C3231" w:rsidRPr="00123959" w14:paraId="118BEAF8" w14:textId="77777777" w:rsidTr="002C3231">
        <w:trPr>
          <w:trHeight w:val="14"/>
        </w:trPr>
        <w:tc>
          <w:tcPr>
            <w:tcW w:w="6897" w:type="dxa"/>
            <w:shd w:val="clear" w:color="auto" w:fill="auto"/>
            <w:vAlign w:val="bottom"/>
            <w:hideMark/>
          </w:tcPr>
          <w:p w14:paraId="49CB55A2" w14:textId="77777777" w:rsidR="00123959" w:rsidRPr="00123959" w:rsidRDefault="00123959" w:rsidP="001F627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</w:rPr>
            </w:pPr>
            <w:r w:rsidRPr="00123959">
              <w:rPr>
                <w:rFonts w:eastAsia="Times New Roman" w:cstheme="minorHAnsi"/>
                <w:color w:val="000000"/>
              </w:rPr>
              <w:t>Achieve a 5-year rolling average of 85% retention rate for FT freshman students from their first to second year.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8A0F8B4" w14:textId="674C6E02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83.0%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271C47D" w14:textId="075BFEBF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</w:t>
            </w: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2C3231" w:rsidRPr="00123959" w14:paraId="23734033" w14:textId="77777777" w:rsidTr="002C3231">
        <w:trPr>
          <w:trHeight w:val="14"/>
        </w:trPr>
        <w:tc>
          <w:tcPr>
            <w:tcW w:w="6897" w:type="dxa"/>
            <w:shd w:val="clear" w:color="auto" w:fill="auto"/>
            <w:vAlign w:val="bottom"/>
            <w:hideMark/>
          </w:tcPr>
          <w:p w14:paraId="3FC1F3CD" w14:textId="77777777" w:rsidR="00123959" w:rsidRPr="00123959" w:rsidRDefault="00123959" w:rsidP="001F627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</w:rPr>
            </w:pPr>
            <w:r w:rsidRPr="00123959">
              <w:rPr>
                <w:rFonts w:eastAsia="Times New Roman" w:cstheme="minorHAnsi"/>
                <w:color w:val="000000"/>
              </w:rPr>
              <w:t>Attain a 5-year rolling average 4-year graduation rate of 43% for all students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EB2D2CC" w14:textId="6430DC87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38.9%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D4D8EFB" w14:textId="7FE3A398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</w:t>
            </w: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2C3231" w:rsidRPr="00123959" w14:paraId="44F69407" w14:textId="77777777" w:rsidTr="002C3231">
        <w:trPr>
          <w:trHeight w:val="14"/>
        </w:trPr>
        <w:tc>
          <w:tcPr>
            <w:tcW w:w="6897" w:type="dxa"/>
            <w:shd w:val="clear" w:color="auto" w:fill="auto"/>
            <w:vAlign w:val="bottom"/>
            <w:hideMark/>
          </w:tcPr>
          <w:p w14:paraId="1772B8AD" w14:textId="77777777" w:rsidR="00123959" w:rsidRPr="00123959" w:rsidRDefault="00123959" w:rsidP="001F627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</w:rPr>
            </w:pPr>
            <w:r w:rsidRPr="00123959">
              <w:rPr>
                <w:rFonts w:eastAsia="Times New Roman" w:cstheme="minorHAnsi"/>
                <w:color w:val="000000"/>
              </w:rPr>
              <w:t>Attain a 5-year rolling average 6-year graduation rate of 70% for all students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72377A7" w14:textId="2BBBAE6F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65.8%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6B1FAFE" w14:textId="76D9AD34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</w:t>
            </w: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2C3231" w:rsidRPr="00123959" w14:paraId="237176F7" w14:textId="77777777" w:rsidTr="002C3231">
        <w:trPr>
          <w:trHeight w:val="14"/>
        </w:trPr>
        <w:tc>
          <w:tcPr>
            <w:tcW w:w="6897" w:type="dxa"/>
            <w:shd w:val="clear" w:color="auto" w:fill="auto"/>
            <w:vAlign w:val="bottom"/>
            <w:hideMark/>
          </w:tcPr>
          <w:p w14:paraId="42999B66" w14:textId="77777777" w:rsidR="00123959" w:rsidRPr="00123959" w:rsidRDefault="00123959" w:rsidP="001F627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</w:rPr>
            </w:pPr>
            <w:r w:rsidRPr="00123959">
              <w:rPr>
                <w:rFonts w:eastAsia="Times New Roman" w:cstheme="minorHAnsi"/>
                <w:color w:val="000000"/>
              </w:rPr>
              <w:t>Maintain the high percentage of first destination employment/continuing education rates within 6 months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9EB5D24" w14:textId="4A157812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</w:t>
            </w: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560F3AF" w14:textId="0C00DD82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</w:t>
            </w: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2C3231" w:rsidRPr="00123959" w14:paraId="7AE04CE5" w14:textId="77777777" w:rsidTr="002C3231">
        <w:trPr>
          <w:trHeight w:val="14"/>
        </w:trPr>
        <w:tc>
          <w:tcPr>
            <w:tcW w:w="6897" w:type="dxa"/>
            <w:shd w:val="clear" w:color="auto" w:fill="auto"/>
            <w:vAlign w:val="bottom"/>
            <w:hideMark/>
          </w:tcPr>
          <w:p w14:paraId="52ED94E8" w14:textId="77777777" w:rsidR="00123959" w:rsidRPr="00123959" w:rsidRDefault="00123959" w:rsidP="001F627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</w:rPr>
            </w:pPr>
            <w:r w:rsidRPr="00123959">
              <w:rPr>
                <w:rFonts w:eastAsia="Times New Roman" w:cstheme="minorHAnsi"/>
                <w:color w:val="000000"/>
              </w:rPr>
              <w:t>Increase the enrollment of students in interdisciplinary programs to X% of all enrollment.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F766471" w14:textId="77777777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BF82CEC" w14:textId="77777777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3231" w:rsidRPr="00123959" w14:paraId="5BEDA386" w14:textId="77777777" w:rsidTr="002C3231">
        <w:trPr>
          <w:trHeight w:val="14"/>
        </w:trPr>
        <w:tc>
          <w:tcPr>
            <w:tcW w:w="6897" w:type="dxa"/>
            <w:shd w:val="clear" w:color="auto" w:fill="auto"/>
            <w:vAlign w:val="bottom"/>
            <w:hideMark/>
          </w:tcPr>
          <w:p w14:paraId="09F2F471" w14:textId="77777777" w:rsidR="00123959" w:rsidRPr="00123959" w:rsidRDefault="00123959" w:rsidP="001F627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</w:rPr>
            </w:pPr>
            <w:r w:rsidRPr="00123959">
              <w:rPr>
                <w:rFonts w:eastAsia="Times New Roman" w:cstheme="minorHAnsi"/>
                <w:color w:val="000000"/>
              </w:rPr>
              <w:t xml:space="preserve">Create a metric for measuring undergraduate scholarship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8984148" w14:textId="77777777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40D43C5" w14:textId="77777777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3231" w:rsidRPr="00123959" w14:paraId="0C76109F" w14:textId="77777777" w:rsidTr="002C3231">
        <w:trPr>
          <w:trHeight w:val="14"/>
        </w:trPr>
        <w:tc>
          <w:tcPr>
            <w:tcW w:w="6897" w:type="dxa"/>
            <w:shd w:val="clear" w:color="auto" w:fill="auto"/>
            <w:vAlign w:val="bottom"/>
            <w:hideMark/>
          </w:tcPr>
          <w:p w14:paraId="46A7260B" w14:textId="04771F0F" w:rsidR="00123959" w:rsidRPr="00123959" w:rsidRDefault="00123959" w:rsidP="001F627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</w:rPr>
            </w:pPr>
            <w:r w:rsidRPr="00123959">
              <w:rPr>
                <w:rFonts w:eastAsia="Times New Roman" w:cstheme="minorHAnsi"/>
                <w:color w:val="000000"/>
              </w:rPr>
              <w:t>Maintain a 5% or lower attrition rate of faculty on a 5-year rolling average for ten</w:t>
            </w:r>
            <w:r w:rsidR="002C3231">
              <w:rPr>
                <w:rFonts w:eastAsia="Times New Roman" w:cstheme="minorHAnsi"/>
                <w:color w:val="000000"/>
              </w:rPr>
              <w:t xml:space="preserve">ured and tenure-track faculty </w:t>
            </w:r>
            <w:r w:rsidRPr="00123959">
              <w:rPr>
                <w:rFonts w:eastAsia="Times New Roman" w:cstheme="minorHAnsi"/>
                <w:color w:val="000000"/>
              </w:rPr>
              <w:t>(excludes retirees and in the future tie to quality rating post tenure)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56B5016" w14:textId="3D3CE1EC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4.1</w:t>
            </w: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0EC1889" w14:textId="6264F0D5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</w:t>
            </w: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2C3231" w:rsidRPr="00123959" w14:paraId="572806C7" w14:textId="77777777" w:rsidTr="002C3231">
        <w:trPr>
          <w:trHeight w:val="14"/>
        </w:trPr>
        <w:tc>
          <w:tcPr>
            <w:tcW w:w="6897" w:type="dxa"/>
            <w:shd w:val="clear" w:color="auto" w:fill="auto"/>
            <w:vAlign w:val="bottom"/>
            <w:hideMark/>
          </w:tcPr>
          <w:p w14:paraId="286856DD" w14:textId="77777777" w:rsidR="00123959" w:rsidRPr="00123959" w:rsidRDefault="00123959" w:rsidP="001F627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</w:rPr>
            </w:pPr>
            <w:r w:rsidRPr="00123959">
              <w:rPr>
                <w:rFonts w:eastAsia="Times New Roman" w:cstheme="minorHAnsi"/>
                <w:color w:val="000000"/>
              </w:rPr>
              <w:t>Increase the percentage of faculty participating in professional development through the CETL over a 5-year rolling average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5D9317B" w14:textId="4382A641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</w:t>
            </w: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84C0351" w14:textId="0B114B62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</w:t>
            </w: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2C3231" w:rsidRPr="00123959" w14:paraId="499CC7CB" w14:textId="77777777" w:rsidTr="002C3231">
        <w:trPr>
          <w:trHeight w:val="14"/>
        </w:trPr>
        <w:tc>
          <w:tcPr>
            <w:tcW w:w="6897" w:type="dxa"/>
            <w:shd w:val="clear" w:color="auto" w:fill="auto"/>
            <w:vAlign w:val="bottom"/>
            <w:hideMark/>
          </w:tcPr>
          <w:p w14:paraId="70862371" w14:textId="36B6A5A8" w:rsidR="00123959" w:rsidRDefault="002C3231" w:rsidP="002C3231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Develop a comprehensive system to evaluate, recognize, and reward temporary, term, tenure-track, and tenured faculty based on an expanded understanding of scholarship, service, and teaching</w:t>
            </w:r>
          </w:p>
          <w:p w14:paraId="31FC5495" w14:textId="77777777" w:rsidR="006D3E53" w:rsidRDefault="006D3E53" w:rsidP="001F627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Maintain or increase the </w:t>
            </w:r>
            <w:r w:rsidR="002C3231">
              <w:rPr>
                <w:rFonts w:eastAsia="Times New Roman" w:cstheme="minorHAnsi"/>
                <w:color w:val="000000"/>
              </w:rPr>
              <w:t>percentage of faculty who are tenured or tenure track</w:t>
            </w:r>
          </w:p>
          <w:p w14:paraId="640AD87A" w14:textId="77777777" w:rsidR="002C3231" w:rsidRDefault="002C3231" w:rsidP="001F627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Maintain or increase the percentage of renewable term instructors in the total of non-tenured faculty</w:t>
            </w:r>
          </w:p>
          <w:p w14:paraId="3598DDA8" w14:textId="51C795D9" w:rsidR="002C3231" w:rsidRPr="00123959" w:rsidRDefault="002C3231" w:rsidP="001F627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Maintain or increase the number of applications and awards for PDAs and summer fellowships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47C35F2" w14:textId="77777777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C2E5C6E" w14:textId="77777777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3231" w:rsidRPr="00123959" w14:paraId="38F79FDC" w14:textId="77777777" w:rsidTr="002C3231">
        <w:trPr>
          <w:trHeight w:val="14"/>
        </w:trPr>
        <w:tc>
          <w:tcPr>
            <w:tcW w:w="6897" w:type="dxa"/>
            <w:shd w:val="clear" w:color="auto" w:fill="auto"/>
            <w:vAlign w:val="bottom"/>
            <w:hideMark/>
          </w:tcPr>
          <w:p w14:paraId="1EA99CE0" w14:textId="77777777" w:rsidR="00123959" w:rsidRPr="00123959" w:rsidRDefault="00123959" w:rsidP="001F627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23959">
              <w:rPr>
                <w:rFonts w:eastAsia="Times New Roman" w:cstheme="minorHAnsi"/>
                <w:color w:val="000000"/>
              </w:rPr>
              <w:t xml:space="preserve">Maintain an annual attrition rate of 7% or lower on a 5-year rolling average for full-time staff (excluding retirees)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BF406F4" w14:textId="27B9CFDD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</w:t>
            </w: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BBBA6B8" w14:textId="3AE92D2A" w:rsidR="00123959" w:rsidRPr="00123959" w:rsidRDefault="00123959" w:rsidP="001F627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</w:t>
            </w:r>
            <w:r w:rsidRPr="00123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</w:tbl>
    <w:p w14:paraId="581596E2" w14:textId="56751FE6" w:rsidR="00123959" w:rsidRDefault="00123959" w:rsidP="00422A92">
      <w:r>
        <w:br w:type="page"/>
      </w:r>
    </w:p>
    <w:p w14:paraId="56D27A66" w14:textId="77777777" w:rsidR="00BC7D15" w:rsidRPr="000C49E1" w:rsidRDefault="003A7E4E" w:rsidP="00395CD3">
      <w:pPr>
        <w:pBdr>
          <w:bottom w:val="single" w:sz="4" w:space="1" w:color="auto"/>
        </w:pBdr>
        <w:rPr>
          <w:b/>
          <w:color w:val="4B116D"/>
          <w:sz w:val="32"/>
        </w:rPr>
      </w:pPr>
      <w:r w:rsidRPr="000C49E1">
        <w:rPr>
          <w:b/>
          <w:color w:val="4B116D"/>
          <w:sz w:val="32"/>
        </w:rPr>
        <w:lastRenderedPageBreak/>
        <w:t>Supporting</w:t>
      </w:r>
      <w:r w:rsidR="00BC7D15" w:rsidRPr="000C49E1">
        <w:rPr>
          <w:b/>
          <w:color w:val="4B116D"/>
          <w:sz w:val="32"/>
        </w:rPr>
        <w:t xml:space="preserve"> Goal 1:  Diversity and Inclusion</w:t>
      </w:r>
    </w:p>
    <w:p w14:paraId="63AE87C6" w14:textId="5C721C0A" w:rsidR="00BC7D15" w:rsidRPr="00BD4DB8" w:rsidRDefault="00BC7D15" w:rsidP="001C3022">
      <w:pPr>
        <w:spacing w:line="360" w:lineRule="auto"/>
        <w:rPr>
          <w:b/>
          <w:sz w:val="28"/>
        </w:rPr>
      </w:pPr>
      <w:r w:rsidRPr="00BD4DB8">
        <w:rPr>
          <w:b/>
          <w:sz w:val="28"/>
        </w:rPr>
        <w:t xml:space="preserve">Provide a campus culture </w:t>
      </w:r>
      <w:r w:rsidR="00387174">
        <w:rPr>
          <w:b/>
          <w:sz w:val="28"/>
        </w:rPr>
        <w:t>that</w:t>
      </w:r>
      <w:r w:rsidRPr="00BD4DB8">
        <w:rPr>
          <w:b/>
          <w:sz w:val="28"/>
        </w:rPr>
        <w:t xml:space="preserve"> reflects and values the evolving diversity of society and promotes inclusion</w:t>
      </w:r>
      <w:r w:rsidR="00E702CE">
        <w:rPr>
          <w:b/>
          <w:sz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F5FC8" w14:paraId="77A75ECE" w14:textId="77777777" w:rsidTr="006D3E53">
        <w:tc>
          <w:tcPr>
            <w:tcW w:w="9360" w:type="dxa"/>
            <w:shd w:val="clear" w:color="auto" w:fill="4B116D"/>
          </w:tcPr>
          <w:p w14:paraId="3297766F" w14:textId="77777777" w:rsidR="008F5FC8" w:rsidRPr="00EF3F40" w:rsidRDefault="008F5FC8" w:rsidP="006D3E53">
            <w:pPr>
              <w:rPr>
                <w:rFonts w:asciiTheme="minorHAnsi" w:hAnsiTheme="minorHAnsi"/>
                <w:b/>
              </w:rPr>
            </w:pPr>
            <w:r w:rsidRPr="00EF3F40">
              <w:rPr>
                <w:rFonts w:asciiTheme="minorHAnsi" w:hAnsiTheme="minorHAnsi"/>
                <w:b/>
              </w:rPr>
              <w:t>Strategic Initiatives:</w:t>
            </w:r>
            <w:r w:rsidRPr="00EF3F40">
              <w:rPr>
                <w:rFonts w:asciiTheme="minorHAnsi" w:hAnsiTheme="minorHAnsi"/>
              </w:rPr>
              <w:t xml:space="preserve">  </w:t>
            </w:r>
          </w:p>
        </w:tc>
      </w:tr>
      <w:tr w:rsidR="008F5FC8" w14:paraId="76978FDD" w14:textId="77777777" w:rsidTr="006D3E53">
        <w:tc>
          <w:tcPr>
            <w:tcW w:w="9360" w:type="dxa"/>
          </w:tcPr>
          <w:p w14:paraId="588939D6" w14:textId="77777777" w:rsidR="00064633" w:rsidRDefault="00064633" w:rsidP="00064633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Attract and retain diverse students, faculty, and staff who are integrated into the campus community.</w:t>
            </w:r>
          </w:p>
          <w:p w14:paraId="237CB94F" w14:textId="77777777" w:rsidR="00064633" w:rsidRDefault="00064633" w:rsidP="00064633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Build and strengthen relationships with underrepresented populations in Waterloo, the Cedar Valley, and Iowa to increase diversity.</w:t>
            </w:r>
          </w:p>
          <w:p w14:paraId="02DDDB21" w14:textId="77777777" w:rsidR="00064633" w:rsidRDefault="00064633" w:rsidP="00064633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Build and strengthen multicultural and international relationships in the United States and abroad.</w:t>
            </w:r>
          </w:p>
          <w:p w14:paraId="142C22C9" w14:textId="77777777" w:rsidR="00064633" w:rsidRDefault="00064633" w:rsidP="00064633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Provide a diversity experience for all students and deliver programs, services, and events to educate for and celebrate diversity on campus.</w:t>
            </w:r>
          </w:p>
          <w:p w14:paraId="7317E420" w14:textId="7C3F296C" w:rsidR="008F5FC8" w:rsidRDefault="00064633" w:rsidP="00064633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</w:pPr>
            <w:r>
              <w:t>Provide an inclusive decision-making process with broad communication and discussion.</w:t>
            </w:r>
          </w:p>
        </w:tc>
      </w:tr>
    </w:tbl>
    <w:tbl>
      <w:tblPr>
        <w:tblW w:w="9440" w:type="dxa"/>
        <w:tblLook w:val="04A0" w:firstRow="1" w:lastRow="0" w:firstColumn="1" w:lastColumn="0" w:noHBand="0" w:noVBand="1"/>
      </w:tblPr>
      <w:tblGrid>
        <w:gridCol w:w="6899"/>
        <w:gridCol w:w="1361"/>
        <w:gridCol w:w="1180"/>
      </w:tblGrid>
      <w:tr w:rsidR="00064633" w:rsidRPr="00123959" w14:paraId="37926AC4" w14:textId="77777777" w:rsidTr="00422A92">
        <w:trPr>
          <w:trHeight w:val="654"/>
        </w:trPr>
        <w:tc>
          <w:tcPr>
            <w:tcW w:w="6899" w:type="dxa"/>
            <w:shd w:val="clear" w:color="auto" w:fill="4B116D"/>
            <w:vAlign w:val="bottom"/>
            <w:hideMark/>
          </w:tcPr>
          <w:p w14:paraId="2D1E0C18" w14:textId="77777777" w:rsidR="00064633" w:rsidRPr="00123959" w:rsidRDefault="00064633" w:rsidP="006D3E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  <w:t>METRIC</w:t>
            </w:r>
          </w:p>
        </w:tc>
        <w:tc>
          <w:tcPr>
            <w:tcW w:w="1361" w:type="dxa"/>
            <w:shd w:val="clear" w:color="auto" w:fill="4B116D"/>
            <w:vAlign w:val="bottom"/>
            <w:hideMark/>
          </w:tcPr>
          <w:p w14:paraId="74C2BA49" w14:textId="77777777" w:rsidR="00064633" w:rsidRPr="00123959" w:rsidRDefault="00064633" w:rsidP="006D3E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  <w:t>BASE YEAR</w:t>
            </w:r>
          </w:p>
        </w:tc>
        <w:tc>
          <w:tcPr>
            <w:tcW w:w="1180" w:type="dxa"/>
            <w:shd w:val="clear" w:color="auto" w:fill="4B116D"/>
            <w:vAlign w:val="bottom"/>
            <w:hideMark/>
          </w:tcPr>
          <w:p w14:paraId="6D71889A" w14:textId="77777777" w:rsidR="00064633" w:rsidRPr="00123959" w:rsidRDefault="00064633" w:rsidP="006D3E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  <w:t>5 YR. TARGET</w:t>
            </w:r>
          </w:p>
        </w:tc>
      </w:tr>
      <w:tr w:rsidR="00064633" w:rsidRPr="00123959" w14:paraId="18281652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0716AD8F" w14:textId="599E8AA0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 xml:space="preserve">Increase the percentage of minority freshmen during the next 10 years (5-year rolling </w:t>
            </w:r>
            <w:proofErr w:type="spellStart"/>
            <w:r w:rsidRPr="009225FB">
              <w:rPr>
                <w:rFonts w:cstheme="minorHAnsi"/>
              </w:rPr>
              <w:t>avg</w:t>
            </w:r>
            <w:proofErr w:type="spellEnd"/>
            <w:r w:rsidRPr="009225FB">
              <w:rPr>
                <w:rFonts w:cstheme="minorHAnsi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0C0CFDF3" w14:textId="6EDC89C0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10.0%</w:t>
            </w:r>
          </w:p>
        </w:tc>
        <w:tc>
          <w:tcPr>
            <w:tcW w:w="1180" w:type="dxa"/>
            <w:shd w:val="clear" w:color="auto" w:fill="auto"/>
          </w:tcPr>
          <w:p w14:paraId="69771330" w14:textId="29297BA8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20.0%</w:t>
            </w:r>
          </w:p>
        </w:tc>
      </w:tr>
      <w:tr w:rsidR="00064633" w:rsidRPr="00123959" w14:paraId="74005426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54ED0142" w14:textId="3F7EF1CA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percentage of minority students to 20% of entire student body over the next 10 years (5-yr rolling average)</w:t>
            </w:r>
          </w:p>
        </w:tc>
        <w:tc>
          <w:tcPr>
            <w:tcW w:w="1361" w:type="dxa"/>
            <w:shd w:val="clear" w:color="auto" w:fill="auto"/>
          </w:tcPr>
          <w:p w14:paraId="23562708" w14:textId="65F3D7FC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8.84%</w:t>
            </w:r>
          </w:p>
        </w:tc>
        <w:tc>
          <w:tcPr>
            <w:tcW w:w="1180" w:type="dxa"/>
            <w:shd w:val="clear" w:color="auto" w:fill="auto"/>
          </w:tcPr>
          <w:p w14:paraId="3B242085" w14:textId="19E64007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12.0%</w:t>
            </w:r>
          </w:p>
        </w:tc>
      </w:tr>
      <w:tr w:rsidR="00064633" w:rsidRPr="00123959" w14:paraId="5C1739B9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4BA91ABC" w14:textId="7E3DFC6A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retention rates of minority students to the overall retention rate (5-year rolling average 1st to 2nd year)</w:t>
            </w:r>
          </w:p>
        </w:tc>
        <w:tc>
          <w:tcPr>
            <w:tcW w:w="1361" w:type="dxa"/>
            <w:shd w:val="clear" w:color="auto" w:fill="auto"/>
          </w:tcPr>
          <w:p w14:paraId="31736B8D" w14:textId="16876D4E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81.0%</w:t>
            </w:r>
          </w:p>
        </w:tc>
        <w:tc>
          <w:tcPr>
            <w:tcW w:w="1180" w:type="dxa"/>
            <w:shd w:val="clear" w:color="auto" w:fill="auto"/>
          </w:tcPr>
          <w:p w14:paraId="33F1BE1D" w14:textId="0570BCB3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85.0%</w:t>
            </w:r>
          </w:p>
        </w:tc>
      </w:tr>
      <w:tr w:rsidR="00064633" w:rsidRPr="00123959" w14:paraId="5A4730CB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020E4A39" w14:textId="3CDED394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 xml:space="preserve">Increase the retention rates of first </w:t>
            </w:r>
            <w:proofErr w:type="gramStart"/>
            <w:r w:rsidRPr="009225FB">
              <w:rPr>
                <w:rFonts w:cstheme="minorHAnsi"/>
              </w:rPr>
              <w:t>generation  students</w:t>
            </w:r>
            <w:proofErr w:type="gramEnd"/>
            <w:r w:rsidRPr="009225FB">
              <w:rPr>
                <w:rFonts w:cstheme="minorHAnsi"/>
              </w:rPr>
              <w:t xml:space="preserve"> to the overall retention rate (5-year rolling average 1st to 2nd year)</w:t>
            </w:r>
          </w:p>
        </w:tc>
        <w:tc>
          <w:tcPr>
            <w:tcW w:w="1361" w:type="dxa"/>
            <w:shd w:val="clear" w:color="auto" w:fill="auto"/>
          </w:tcPr>
          <w:p w14:paraId="79422247" w14:textId="0A239C3C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80.7%</w:t>
            </w:r>
          </w:p>
        </w:tc>
        <w:tc>
          <w:tcPr>
            <w:tcW w:w="1180" w:type="dxa"/>
            <w:shd w:val="clear" w:color="auto" w:fill="auto"/>
          </w:tcPr>
          <w:p w14:paraId="7929F920" w14:textId="7FFB8AAC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85.0%</w:t>
            </w:r>
          </w:p>
        </w:tc>
      </w:tr>
      <w:tr w:rsidR="00064633" w:rsidRPr="00123959" w14:paraId="5CEDCF03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7827B26F" w14:textId="70588A3B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retention rates of low income (Pell eligible) students and to the overall retention rate (5-year rolling average 1st to 2nd year)</w:t>
            </w:r>
          </w:p>
        </w:tc>
        <w:tc>
          <w:tcPr>
            <w:tcW w:w="1361" w:type="dxa"/>
            <w:shd w:val="clear" w:color="auto" w:fill="auto"/>
          </w:tcPr>
          <w:p w14:paraId="25F55299" w14:textId="16892CF9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81.4%</w:t>
            </w:r>
          </w:p>
        </w:tc>
        <w:tc>
          <w:tcPr>
            <w:tcW w:w="1180" w:type="dxa"/>
            <w:shd w:val="clear" w:color="auto" w:fill="auto"/>
          </w:tcPr>
          <w:p w14:paraId="4F6E7E3D" w14:textId="2C742051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85.0%</w:t>
            </w:r>
          </w:p>
        </w:tc>
      </w:tr>
      <w:tr w:rsidR="00064633" w:rsidRPr="00123959" w14:paraId="76A8FDF0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2A2B92AA" w14:textId="59AE10D4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4-year graduation rates for minority students to the overall student rates (5-year rolling average)</w:t>
            </w:r>
          </w:p>
        </w:tc>
        <w:tc>
          <w:tcPr>
            <w:tcW w:w="1361" w:type="dxa"/>
            <w:shd w:val="clear" w:color="auto" w:fill="auto"/>
          </w:tcPr>
          <w:p w14:paraId="64A63ECD" w14:textId="0C825A09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26.5%</w:t>
            </w:r>
          </w:p>
        </w:tc>
        <w:tc>
          <w:tcPr>
            <w:tcW w:w="1180" w:type="dxa"/>
            <w:shd w:val="clear" w:color="auto" w:fill="auto"/>
          </w:tcPr>
          <w:p w14:paraId="58C41D68" w14:textId="08CA2B17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40.0%</w:t>
            </w:r>
          </w:p>
        </w:tc>
      </w:tr>
      <w:tr w:rsidR="00064633" w:rsidRPr="00123959" w14:paraId="0C916699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4C22D440" w14:textId="77FC8DFA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6-year graduation rates for minority students to the overall student rates (5-year rolling average)</w:t>
            </w:r>
          </w:p>
        </w:tc>
        <w:tc>
          <w:tcPr>
            <w:tcW w:w="1361" w:type="dxa"/>
            <w:shd w:val="clear" w:color="auto" w:fill="auto"/>
          </w:tcPr>
          <w:p w14:paraId="6F358306" w14:textId="0B3597AD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42.2%</w:t>
            </w:r>
          </w:p>
        </w:tc>
        <w:tc>
          <w:tcPr>
            <w:tcW w:w="1180" w:type="dxa"/>
            <w:shd w:val="clear" w:color="auto" w:fill="auto"/>
          </w:tcPr>
          <w:p w14:paraId="72F06CF8" w14:textId="4C2C0402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65.0%</w:t>
            </w:r>
          </w:p>
        </w:tc>
      </w:tr>
      <w:tr w:rsidR="00064633" w:rsidRPr="00123959" w14:paraId="1081146D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4119C2D7" w14:textId="0C48C512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4-year graduation rates of first generation students (5-year rolling average)</w:t>
            </w:r>
          </w:p>
        </w:tc>
        <w:tc>
          <w:tcPr>
            <w:tcW w:w="1361" w:type="dxa"/>
            <w:shd w:val="clear" w:color="auto" w:fill="auto"/>
          </w:tcPr>
          <w:p w14:paraId="145481FB" w14:textId="778DD692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33.2%</w:t>
            </w:r>
          </w:p>
        </w:tc>
        <w:tc>
          <w:tcPr>
            <w:tcW w:w="1180" w:type="dxa"/>
            <w:shd w:val="clear" w:color="auto" w:fill="auto"/>
          </w:tcPr>
          <w:p w14:paraId="090B45CA" w14:textId="1D39E871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43.0%</w:t>
            </w:r>
          </w:p>
        </w:tc>
      </w:tr>
      <w:tr w:rsidR="00064633" w:rsidRPr="00123959" w14:paraId="74BB7E68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42F95C5C" w14:textId="6F01421C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6-year graduation rates of first generation students (5-year rolling average)</w:t>
            </w:r>
          </w:p>
        </w:tc>
        <w:tc>
          <w:tcPr>
            <w:tcW w:w="1361" w:type="dxa"/>
            <w:shd w:val="clear" w:color="auto" w:fill="auto"/>
          </w:tcPr>
          <w:p w14:paraId="73590930" w14:textId="19D59837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72.5%</w:t>
            </w:r>
          </w:p>
        </w:tc>
        <w:tc>
          <w:tcPr>
            <w:tcW w:w="1180" w:type="dxa"/>
            <w:shd w:val="clear" w:color="auto" w:fill="auto"/>
          </w:tcPr>
          <w:p w14:paraId="39C2797D" w14:textId="625FF38E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75.0%</w:t>
            </w:r>
          </w:p>
        </w:tc>
      </w:tr>
      <w:tr w:rsidR="00064633" w:rsidRPr="00123959" w14:paraId="32CB00A6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57ED5F5B" w14:textId="1F942A69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6-year graduation rates for low income (Pell eligible) students (5-year rolling average)</w:t>
            </w:r>
          </w:p>
        </w:tc>
        <w:tc>
          <w:tcPr>
            <w:tcW w:w="1361" w:type="dxa"/>
            <w:shd w:val="clear" w:color="auto" w:fill="auto"/>
          </w:tcPr>
          <w:p w14:paraId="486FFE66" w14:textId="6002FD03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59.6%</w:t>
            </w:r>
          </w:p>
        </w:tc>
        <w:tc>
          <w:tcPr>
            <w:tcW w:w="1180" w:type="dxa"/>
            <w:shd w:val="clear" w:color="auto" w:fill="auto"/>
          </w:tcPr>
          <w:p w14:paraId="0B7F6ED1" w14:textId="75BD36BF" w:rsidR="00064633" w:rsidRPr="00123959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68.0%</w:t>
            </w:r>
          </w:p>
        </w:tc>
      </w:tr>
      <w:tr w:rsidR="00064633" w:rsidRPr="009225FB" w14:paraId="672ED6EF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42482B9F" w14:textId="5D8E1ED0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</w:t>
            </w:r>
            <w:r w:rsidR="002C3231">
              <w:rPr>
                <w:rFonts w:cstheme="minorHAnsi"/>
              </w:rPr>
              <w:t xml:space="preserve"> the percent of faculty of color, female, and with disabilities</w:t>
            </w:r>
          </w:p>
        </w:tc>
        <w:tc>
          <w:tcPr>
            <w:tcW w:w="1361" w:type="dxa"/>
            <w:shd w:val="clear" w:color="auto" w:fill="auto"/>
          </w:tcPr>
          <w:p w14:paraId="65BE5C42" w14:textId="2784E67B" w:rsidR="00064633" w:rsidRPr="009225FB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13.0%</w:t>
            </w:r>
          </w:p>
        </w:tc>
        <w:tc>
          <w:tcPr>
            <w:tcW w:w="1180" w:type="dxa"/>
            <w:shd w:val="clear" w:color="auto" w:fill="auto"/>
          </w:tcPr>
          <w:p w14:paraId="52E64696" w14:textId="36521A7D" w:rsidR="00064633" w:rsidRPr="009225FB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20.0%</w:t>
            </w:r>
          </w:p>
        </w:tc>
      </w:tr>
      <w:tr w:rsidR="00064633" w:rsidRPr="009225FB" w14:paraId="06D9108D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5AF4001B" w14:textId="24B7E84A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percent of staff of color over the next 10 years</w:t>
            </w:r>
          </w:p>
        </w:tc>
        <w:tc>
          <w:tcPr>
            <w:tcW w:w="1361" w:type="dxa"/>
            <w:shd w:val="clear" w:color="auto" w:fill="auto"/>
          </w:tcPr>
          <w:p w14:paraId="5DB4F89A" w14:textId="78C2FE6D" w:rsidR="00064633" w:rsidRPr="009225FB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10.0%</w:t>
            </w:r>
          </w:p>
        </w:tc>
        <w:tc>
          <w:tcPr>
            <w:tcW w:w="1180" w:type="dxa"/>
            <w:shd w:val="clear" w:color="auto" w:fill="auto"/>
          </w:tcPr>
          <w:p w14:paraId="02B22243" w14:textId="12C15576" w:rsidR="00064633" w:rsidRPr="009225FB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20.0%</w:t>
            </w:r>
          </w:p>
        </w:tc>
      </w:tr>
      <w:tr w:rsidR="00064633" w:rsidRPr="009225FB" w14:paraId="2822F8B0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74CED320" w14:textId="55AEAA03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number and percent of administrators of color over the next 10 years</w:t>
            </w:r>
          </w:p>
        </w:tc>
        <w:tc>
          <w:tcPr>
            <w:tcW w:w="1361" w:type="dxa"/>
            <w:shd w:val="clear" w:color="auto" w:fill="auto"/>
          </w:tcPr>
          <w:p w14:paraId="3D865D40" w14:textId="37EF6D9F" w:rsidR="00064633" w:rsidRPr="009225FB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8.2%</w:t>
            </w:r>
          </w:p>
        </w:tc>
        <w:tc>
          <w:tcPr>
            <w:tcW w:w="1180" w:type="dxa"/>
            <w:shd w:val="clear" w:color="auto" w:fill="auto"/>
          </w:tcPr>
          <w:p w14:paraId="66B42602" w14:textId="76FB5D40" w:rsidR="00064633" w:rsidRPr="009225FB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</w:tr>
      <w:tr w:rsidR="00064633" w:rsidRPr="009225FB" w14:paraId="0FEA9A2E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79B5598B" w14:textId="24356925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percent of need that was met of those awarded need-based financial aid (full time, undergrads)</w:t>
            </w:r>
          </w:p>
        </w:tc>
        <w:tc>
          <w:tcPr>
            <w:tcW w:w="1361" w:type="dxa"/>
            <w:shd w:val="clear" w:color="auto" w:fill="auto"/>
          </w:tcPr>
          <w:p w14:paraId="3D391F95" w14:textId="27FE96F8" w:rsidR="00064633" w:rsidRPr="009225FB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65.2%</w:t>
            </w:r>
          </w:p>
        </w:tc>
        <w:tc>
          <w:tcPr>
            <w:tcW w:w="1180" w:type="dxa"/>
            <w:shd w:val="clear" w:color="auto" w:fill="auto"/>
          </w:tcPr>
          <w:p w14:paraId="537D7B28" w14:textId="77777777" w:rsidR="00064633" w:rsidRPr="009225FB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4633" w:rsidRPr="009225FB" w14:paraId="7D2D81E3" w14:textId="77777777" w:rsidTr="00422A92">
        <w:trPr>
          <w:trHeight w:val="20"/>
        </w:trPr>
        <w:tc>
          <w:tcPr>
            <w:tcW w:w="6899" w:type="dxa"/>
            <w:shd w:val="clear" w:color="auto" w:fill="auto"/>
          </w:tcPr>
          <w:p w14:paraId="10C5EA95" w14:textId="5E69C723" w:rsidR="00064633" w:rsidRPr="009225FB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Expand the number of multicultural scholarship recipients (undergraduates)</w:t>
            </w:r>
          </w:p>
        </w:tc>
        <w:tc>
          <w:tcPr>
            <w:tcW w:w="1361" w:type="dxa"/>
            <w:shd w:val="clear" w:color="auto" w:fill="auto"/>
          </w:tcPr>
          <w:p w14:paraId="13C5124D" w14:textId="1B097F48" w:rsidR="00064633" w:rsidRPr="009225FB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1180" w:type="dxa"/>
            <w:shd w:val="clear" w:color="auto" w:fill="auto"/>
          </w:tcPr>
          <w:p w14:paraId="0A5BC1FB" w14:textId="5664A068" w:rsidR="00064633" w:rsidRPr="009225FB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</w:tr>
      <w:tr w:rsidR="00064633" w:rsidRPr="009225FB" w14:paraId="3A6389D4" w14:textId="77777777" w:rsidTr="00422A92">
        <w:trPr>
          <w:trHeight w:val="1131"/>
        </w:trPr>
        <w:tc>
          <w:tcPr>
            <w:tcW w:w="6899" w:type="dxa"/>
            <w:shd w:val="clear" w:color="auto" w:fill="auto"/>
          </w:tcPr>
          <w:p w14:paraId="3040F84A" w14:textId="77777777" w:rsidR="00064633" w:rsidRPr="002C3231" w:rsidRDefault="00064633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percentage of multicultural students receiving gift aid (undergraduates)</w:t>
            </w:r>
          </w:p>
          <w:p w14:paraId="6655A39A" w14:textId="77777777" w:rsidR="002C3231" w:rsidRPr="00422A92" w:rsidRDefault="002C3231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Increase ratings of UNI as a “welcoming and inclusive” community on Bi-annual Climate Survey by students, staff, faculty, and admin</w:t>
            </w:r>
          </w:p>
          <w:p w14:paraId="116200DD" w14:textId="7E723E1B" w:rsidR="00422A92" w:rsidRPr="009225FB" w:rsidRDefault="00422A92" w:rsidP="00BF1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 xml:space="preserve">Increase number of faculty teaching abroad &amp; # of </w:t>
            </w:r>
            <w:proofErr w:type="spellStart"/>
            <w:r>
              <w:rPr>
                <w:rFonts w:cstheme="minorHAnsi"/>
              </w:rPr>
              <w:t>Fulbrights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77C7EAA2" w14:textId="35176089" w:rsidR="00064633" w:rsidRPr="009225FB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  <w:szCs w:val="22"/>
              </w:rPr>
              <w:t>86.8%</w:t>
            </w:r>
          </w:p>
        </w:tc>
        <w:tc>
          <w:tcPr>
            <w:tcW w:w="1180" w:type="dxa"/>
            <w:shd w:val="clear" w:color="auto" w:fill="auto"/>
          </w:tcPr>
          <w:p w14:paraId="4B814C93" w14:textId="77777777" w:rsidR="00064633" w:rsidRPr="009225FB" w:rsidRDefault="00064633" w:rsidP="0006463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07D9AF" w14:textId="41D52650" w:rsidR="00BD7AAD" w:rsidRDefault="00BD7AAD">
      <w:pPr>
        <w:rPr>
          <w:szCs w:val="28"/>
        </w:rPr>
      </w:pPr>
    </w:p>
    <w:p w14:paraId="12DC40CF" w14:textId="77777777" w:rsidR="001C3022" w:rsidRPr="001C3022" w:rsidRDefault="001C3022" w:rsidP="00395CD3">
      <w:pPr>
        <w:pBdr>
          <w:bottom w:val="single" w:sz="4" w:space="1" w:color="auto"/>
        </w:pBdr>
        <w:rPr>
          <w:szCs w:val="28"/>
        </w:rPr>
      </w:pPr>
    </w:p>
    <w:p w14:paraId="55D83C62" w14:textId="77777777" w:rsidR="00BC7D15" w:rsidRPr="000C49E1" w:rsidRDefault="003A7E4E" w:rsidP="00395CD3">
      <w:pPr>
        <w:pBdr>
          <w:bottom w:val="single" w:sz="4" w:space="1" w:color="auto"/>
        </w:pBdr>
        <w:rPr>
          <w:b/>
          <w:color w:val="4B116D"/>
          <w:sz w:val="32"/>
          <w:szCs w:val="28"/>
        </w:rPr>
      </w:pPr>
      <w:r w:rsidRPr="000C49E1">
        <w:rPr>
          <w:b/>
          <w:color w:val="4B116D"/>
          <w:sz w:val="32"/>
          <w:szCs w:val="28"/>
        </w:rPr>
        <w:t>Supporting</w:t>
      </w:r>
      <w:r w:rsidR="00BC7D15" w:rsidRPr="000C49E1">
        <w:rPr>
          <w:b/>
          <w:color w:val="4B116D"/>
          <w:sz w:val="32"/>
          <w:szCs w:val="28"/>
        </w:rPr>
        <w:t xml:space="preserve"> Goal 2:  Campus Vitality</w:t>
      </w:r>
    </w:p>
    <w:p w14:paraId="639159A2" w14:textId="305C5507" w:rsidR="00BC7D15" w:rsidRPr="00BD4DB8" w:rsidRDefault="00BC7D15" w:rsidP="001C3022">
      <w:pPr>
        <w:spacing w:line="360" w:lineRule="auto"/>
        <w:rPr>
          <w:b/>
          <w:sz w:val="28"/>
        </w:rPr>
      </w:pPr>
      <w:r w:rsidRPr="00BD4DB8">
        <w:rPr>
          <w:b/>
          <w:sz w:val="28"/>
        </w:rPr>
        <w:t xml:space="preserve">Enhance resource and facility development to provide an enriched campus life experience which is both </w:t>
      </w:r>
      <w:r w:rsidR="004D639F" w:rsidRPr="00BD4DB8">
        <w:rPr>
          <w:b/>
          <w:sz w:val="28"/>
        </w:rPr>
        <w:t xml:space="preserve">environmentally </w:t>
      </w:r>
      <w:r w:rsidR="004D639F">
        <w:rPr>
          <w:b/>
          <w:sz w:val="28"/>
        </w:rPr>
        <w:t xml:space="preserve">and </w:t>
      </w:r>
      <w:r w:rsidRPr="00BD4DB8">
        <w:rPr>
          <w:b/>
          <w:sz w:val="28"/>
        </w:rPr>
        <w:t xml:space="preserve">fiscally </w:t>
      </w:r>
      <w:r w:rsidR="004D639F">
        <w:rPr>
          <w:b/>
          <w:sz w:val="28"/>
        </w:rPr>
        <w:t>responsible</w:t>
      </w:r>
      <w:r w:rsidR="00D83679">
        <w:rPr>
          <w:b/>
          <w:sz w:val="28"/>
        </w:rPr>
        <w:t>.</w:t>
      </w:r>
    </w:p>
    <w:p w14:paraId="5A289A7B" w14:textId="445C0395" w:rsidR="00BD4DB8" w:rsidRDefault="00BD4DB8" w:rsidP="00BD4DB8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427B2" w14:paraId="4707EA8E" w14:textId="77777777" w:rsidTr="009225FB">
        <w:tc>
          <w:tcPr>
            <w:tcW w:w="9360" w:type="dxa"/>
            <w:shd w:val="clear" w:color="auto" w:fill="4B116D"/>
          </w:tcPr>
          <w:p w14:paraId="7662CAB8" w14:textId="77777777" w:rsidR="007427B2" w:rsidRPr="00EF3F40" w:rsidRDefault="007427B2" w:rsidP="006D3E53">
            <w:pPr>
              <w:rPr>
                <w:rFonts w:asciiTheme="minorHAnsi" w:hAnsiTheme="minorHAnsi"/>
                <w:b/>
              </w:rPr>
            </w:pPr>
            <w:r w:rsidRPr="00EF3F40">
              <w:rPr>
                <w:rFonts w:asciiTheme="minorHAnsi" w:hAnsiTheme="minorHAnsi"/>
                <w:b/>
              </w:rPr>
              <w:t>Strategic Initiatives:</w:t>
            </w:r>
            <w:r w:rsidRPr="00EF3F40">
              <w:rPr>
                <w:rFonts w:asciiTheme="minorHAnsi" w:hAnsiTheme="minorHAnsi"/>
              </w:rPr>
              <w:t xml:space="preserve">  </w:t>
            </w:r>
          </w:p>
        </w:tc>
      </w:tr>
      <w:tr w:rsidR="007427B2" w14:paraId="6AFCE3C6" w14:textId="77777777" w:rsidTr="009225FB">
        <w:tc>
          <w:tcPr>
            <w:tcW w:w="9360" w:type="dxa"/>
          </w:tcPr>
          <w:p w14:paraId="1D381B60" w14:textId="77777777" w:rsidR="007427B2" w:rsidRDefault="007427B2" w:rsidP="007427B2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Adopt a holistic approach to campus well-being that supports the recruitment, retention, health, and safety of students, faculty and staff.</w:t>
            </w:r>
          </w:p>
          <w:p w14:paraId="0C7EFBAF" w14:textId="77777777" w:rsidR="007427B2" w:rsidRDefault="007427B2" w:rsidP="007427B2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 xml:space="preserve">Support academic success by addressing building and infrastructure needs through renewal, maintenance, and upgrades focused on sustainability and efficiency.  </w:t>
            </w:r>
          </w:p>
          <w:p w14:paraId="7E8A2FD4" w14:textId="77777777" w:rsidR="007427B2" w:rsidRDefault="007427B2" w:rsidP="007427B2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Continuously improve the quality of services seeking the most efficient and effective delivery method.</w:t>
            </w:r>
          </w:p>
          <w:p w14:paraId="1659CE41" w14:textId="77777777" w:rsidR="007427B2" w:rsidRDefault="007427B2" w:rsidP="007427B2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Enhance revenue streams to the University in order to maintain access and affordability.</w:t>
            </w:r>
          </w:p>
          <w:p w14:paraId="008AE196" w14:textId="0E4A5F5F" w:rsidR="007427B2" w:rsidRDefault="007427B2" w:rsidP="007427B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</w:pPr>
            <w:r>
              <w:t>Support intentional student engagement in the various stages of students’ academic careers through curricular, co-curricular, and extra-curricular activities.</w:t>
            </w:r>
          </w:p>
        </w:tc>
      </w:tr>
    </w:tbl>
    <w:tbl>
      <w:tblPr>
        <w:tblW w:w="9360" w:type="dxa"/>
        <w:tblLook w:val="04A0" w:firstRow="1" w:lastRow="0" w:firstColumn="1" w:lastColumn="0" w:noHBand="0" w:noVBand="1"/>
      </w:tblPr>
      <w:tblGrid>
        <w:gridCol w:w="6617"/>
        <w:gridCol w:w="1340"/>
        <w:gridCol w:w="1403"/>
      </w:tblGrid>
      <w:tr w:rsidR="009225FB" w:rsidRPr="00123959" w14:paraId="4DD39F87" w14:textId="77777777" w:rsidTr="009225FB">
        <w:trPr>
          <w:trHeight w:val="600"/>
        </w:trPr>
        <w:tc>
          <w:tcPr>
            <w:tcW w:w="6617" w:type="dxa"/>
            <w:shd w:val="clear" w:color="auto" w:fill="4B116D"/>
            <w:vAlign w:val="bottom"/>
            <w:hideMark/>
          </w:tcPr>
          <w:p w14:paraId="4429DF1F" w14:textId="77777777" w:rsidR="009225FB" w:rsidRPr="00123959" w:rsidRDefault="009225FB" w:rsidP="006D3E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  <w:t>METRIC</w:t>
            </w:r>
          </w:p>
        </w:tc>
        <w:tc>
          <w:tcPr>
            <w:tcW w:w="1340" w:type="dxa"/>
            <w:shd w:val="clear" w:color="auto" w:fill="4B116D"/>
            <w:vAlign w:val="bottom"/>
            <w:hideMark/>
          </w:tcPr>
          <w:p w14:paraId="1561701F" w14:textId="77777777" w:rsidR="009225FB" w:rsidRPr="00123959" w:rsidRDefault="009225FB" w:rsidP="006D3E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  <w:t>BASE YEAR</w:t>
            </w:r>
          </w:p>
        </w:tc>
        <w:tc>
          <w:tcPr>
            <w:tcW w:w="1403" w:type="dxa"/>
            <w:shd w:val="clear" w:color="auto" w:fill="4B116D"/>
            <w:vAlign w:val="bottom"/>
            <w:hideMark/>
          </w:tcPr>
          <w:p w14:paraId="56171028" w14:textId="77777777" w:rsidR="009225FB" w:rsidRPr="00123959" w:rsidRDefault="009225FB" w:rsidP="006D3E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  <w:t>5 YR. TARGET</w:t>
            </w:r>
          </w:p>
        </w:tc>
      </w:tr>
      <w:tr w:rsidR="009225FB" w:rsidRPr="00123959" w14:paraId="681BB7B6" w14:textId="77777777" w:rsidTr="009225FB">
        <w:trPr>
          <w:trHeight w:val="20"/>
        </w:trPr>
        <w:tc>
          <w:tcPr>
            <w:tcW w:w="6617" w:type="dxa"/>
            <w:shd w:val="clear" w:color="auto" w:fill="auto"/>
          </w:tcPr>
          <w:p w14:paraId="4A9BE572" w14:textId="6455FA93" w:rsidR="009225FB" w:rsidRPr="009225FB" w:rsidRDefault="009225FB" w:rsidP="009225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Maintain students' rating campus safety from somewhat safe to very safe above the national average of 98.9% for daytime and 82.7% nighttime (substantial gap between somewhat to very safe)</w:t>
            </w:r>
          </w:p>
        </w:tc>
        <w:tc>
          <w:tcPr>
            <w:tcW w:w="1340" w:type="dxa"/>
            <w:shd w:val="clear" w:color="auto" w:fill="auto"/>
          </w:tcPr>
          <w:p w14:paraId="59BE135D" w14:textId="7C7D9F0A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99.6% daytime and 89% nighttime</w:t>
            </w:r>
          </w:p>
        </w:tc>
        <w:tc>
          <w:tcPr>
            <w:tcW w:w="1403" w:type="dxa"/>
            <w:shd w:val="clear" w:color="auto" w:fill="auto"/>
          </w:tcPr>
          <w:p w14:paraId="6BF9C587" w14:textId="714279C5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225FB" w:rsidRPr="00123959" w14:paraId="48B9343B" w14:textId="77777777" w:rsidTr="009225FB">
        <w:trPr>
          <w:trHeight w:val="20"/>
        </w:trPr>
        <w:tc>
          <w:tcPr>
            <w:tcW w:w="6617" w:type="dxa"/>
            <w:shd w:val="clear" w:color="auto" w:fill="auto"/>
          </w:tcPr>
          <w:p w14:paraId="0A63C213" w14:textId="7A4B2B4E" w:rsidR="009225FB" w:rsidRPr="009225FB" w:rsidRDefault="009225FB" w:rsidP="009225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percentage of students rating their general health from good to excellent - national 82.7%</w:t>
            </w:r>
          </w:p>
        </w:tc>
        <w:tc>
          <w:tcPr>
            <w:tcW w:w="1340" w:type="dxa"/>
            <w:shd w:val="clear" w:color="auto" w:fill="auto"/>
          </w:tcPr>
          <w:p w14:paraId="3018F72B" w14:textId="30C94619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90.00%</w:t>
            </w:r>
          </w:p>
        </w:tc>
        <w:tc>
          <w:tcPr>
            <w:tcW w:w="1403" w:type="dxa"/>
            <w:shd w:val="clear" w:color="auto" w:fill="auto"/>
          </w:tcPr>
          <w:p w14:paraId="48CF032A" w14:textId="55390794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225FB" w:rsidRPr="00123959" w14:paraId="3664185D" w14:textId="77777777" w:rsidTr="009225FB">
        <w:trPr>
          <w:trHeight w:val="20"/>
        </w:trPr>
        <w:tc>
          <w:tcPr>
            <w:tcW w:w="6617" w:type="dxa"/>
            <w:shd w:val="clear" w:color="auto" w:fill="auto"/>
          </w:tcPr>
          <w:p w14:paraId="04158A56" w14:textId="3493032D" w:rsidR="009225FB" w:rsidRPr="009225FB" w:rsidRDefault="009225FB" w:rsidP="009225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Crime: sexual assault, robbery, theft and hate crimes (reporting rate)</w:t>
            </w:r>
          </w:p>
        </w:tc>
        <w:tc>
          <w:tcPr>
            <w:tcW w:w="1340" w:type="dxa"/>
            <w:shd w:val="clear" w:color="auto" w:fill="auto"/>
          </w:tcPr>
          <w:p w14:paraId="4968C2FC" w14:textId="5156BA66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530D0ACC" w14:textId="6DD64D0C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225FB" w:rsidRPr="00123959" w14:paraId="62D56773" w14:textId="77777777" w:rsidTr="009225FB">
        <w:trPr>
          <w:trHeight w:val="20"/>
        </w:trPr>
        <w:tc>
          <w:tcPr>
            <w:tcW w:w="6617" w:type="dxa"/>
            <w:shd w:val="clear" w:color="auto" w:fill="auto"/>
          </w:tcPr>
          <w:p w14:paraId="390782F9" w14:textId="06EDA3E0" w:rsidR="009225FB" w:rsidRPr="009225FB" w:rsidRDefault="009225FB" w:rsidP="009225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total sponsored funding and increase the number of successful grant applicants</w:t>
            </w:r>
          </w:p>
        </w:tc>
        <w:tc>
          <w:tcPr>
            <w:tcW w:w="1340" w:type="dxa"/>
            <w:shd w:val="clear" w:color="auto" w:fill="auto"/>
          </w:tcPr>
          <w:p w14:paraId="70386677" w14:textId="65B489A3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$38.7 million</w:t>
            </w:r>
          </w:p>
        </w:tc>
        <w:tc>
          <w:tcPr>
            <w:tcW w:w="1403" w:type="dxa"/>
            <w:shd w:val="clear" w:color="auto" w:fill="auto"/>
          </w:tcPr>
          <w:p w14:paraId="3EBFE588" w14:textId="4A4B18F8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225FB" w:rsidRPr="00123959" w14:paraId="16492F85" w14:textId="77777777" w:rsidTr="009225FB">
        <w:trPr>
          <w:trHeight w:val="20"/>
        </w:trPr>
        <w:tc>
          <w:tcPr>
            <w:tcW w:w="6617" w:type="dxa"/>
            <w:shd w:val="clear" w:color="auto" w:fill="auto"/>
          </w:tcPr>
          <w:p w14:paraId="2FEE86D6" w14:textId="5A111412" w:rsidR="009225FB" w:rsidRPr="009225FB" w:rsidRDefault="009225FB" w:rsidP="009225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the number of need-based scholarships through Advancement Division</w:t>
            </w:r>
          </w:p>
        </w:tc>
        <w:tc>
          <w:tcPr>
            <w:tcW w:w="1340" w:type="dxa"/>
            <w:shd w:val="clear" w:color="auto" w:fill="auto"/>
          </w:tcPr>
          <w:p w14:paraId="6CB79455" w14:textId="5C3BD8EB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450</w:t>
            </w:r>
          </w:p>
        </w:tc>
        <w:tc>
          <w:tcPr>
            <w:tcW w:w="1403" w:type="dxa"/>
            <w:shd w:val="clear" w:color="auto" w:fill="auto"/>
          </w:tcPr>
          <w:p w14:paraId="59C283DA" w14:textId="7EFD9C2A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250 additional scholarships</w:t>
            </w:r>
          </w:p>
        </w:tc>
      </w:tr>
      <w:tr w:rsidR="009225FB" w:rsidRPr="00123959" w14:paraId="55468CFC" w14:textId="77777777" w:rsidTr="009225FB">
        <w:trPr>
          <w:trHeight w:val="20"/>
        </w:trPr>
        <w:tc>
          <w:tcPr>
            <w:tcW w:w="6617" w:type="dxa"/>
            <w:shd w:val="clear" w:color="auto" w:fill="auto"/>
          </w:tcPr>
          <w:p w14:paraId="10B0B552" w14:textId="625CED91" w:rsidR="009225FB" w:rsidRPr="009225FB" w:rsidRDefault="009225FB" w:rsidP="009225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Decrease utility usage per square foot (</w:t>
            </w:r>
            <w:proofErr w:type="spellStart"/>
            <w:r w:rsidRPr="009225FB">
              <w:rPr>
                <w:rFonts w:cstheme="minorHAnsi"/>
              </w:rPr>
              <w:t>Kbuts</w:t>
            </w:r>
            <w:proofErr w:type="spellEnd"/>
            <w:r w:rsidRPr="009225FB">
              <w:rPr>
                <w:rFonts w:cstheme="minorHAnsi"/>
              </w:rPr>
              <w:t>)</w:t>
            </w:r>
          </w:p>
        </w:tc>
        <w:tc>
          <w:tcPr>
            <w:tcW w:w="1340" w:type="dxa"/>
            <w:shd w:val="clear" w:color="auto" w:fill="auto"/>
          </w:tcPr>
          <w:p w14:paraId="6628C083" w14:textId="2212CCB0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163.12</w:t>
            </w:r>
          </w:p>
        </w:tc>
        <w:tc>
          <w:tcPr>
            <w:tcW w:w="1403" w:type="dxa"/>
            <w:shd w:val="clear" w:color="auto" w:fill="auto"/>
          </w:tcPr>
          <w:p w14:paraId="446E447F" w14:textId="46433CD3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150</w:t>
            </w:r>
          </w:p>
        </w:tc>
      </w:tr>
      <w:tr w:rsidR="009225FB" w:rsidRPr="00123959" w14:paraId="36276185" w14:textId="77777777" w:rsidTr="009225FB">
        <w:trPr>
          <w:trHeight w:val="20"/>
        </w:trPr>
        <w:tc>
          <w:tcPr>
            <w:tcW w:w="6617" w:type="dxa"/>
            <w:shd w:val="clear" w:color="auto" w:fill="auto"/>
          </w:tcPr>
          <w:p w14:paraId="0E9B7904" w14:textId="1C815008" w:rsidR="009225FB" w:rsidRPr="009225FB" w:rsidRDefault="009225FB" w:rsidP="009225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percentage of solid waste diverted from to landfill</w:t>
            </w:r>
          </w:p>
        </w:tc>
        <w:tc>
          <w:tcPr>
            <w:tcW w:w="1340" w:type="dxa"/>
            <w:shd w:val="clear" w:color="auto" w:fill="auto"/>
          </w:tcPr>
          <w:p w14:paraId="7D7E3D48" w14:textId="27E81388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37%</w:t>
            </w:r>
          </w:p>
        </w:tc>
        <w:tc>
          <w:tcPr>
            <w:tcW w:w="1403" w:type="dxa"/>
            <w:shd w:val="clear" w:color="auto" w:fill="auto"/>
          </w:tcPr>
          <w:p w14:paraId="6F01E126" w14:textId="0D420CF8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46%</w:t>
            </w:r>
          </w:p>
        </w:tc>
      </w:tr>
      <w:tr w:rsidR="009225FB" w:rsidRPr="00123959" w14:paraId="1FA49F1E" w14:textId="77777777" w:rsidTr="00422A92">
        <w:trPr>
          <w:trHeight w:val="243"/>
        </w:trPr>
        <w:tc>
          <w:tcPr>
            <w:tcW w:w="6617" w:type="dxa"/>
            <w:shd w:val="clear" w:color="auto" w:fill="auto"/>
          </w:tcPr>
          <w:p w14:paraId="7FC598FA" w14:textId="75017257" w:rsidR="009225FB" w:rsidRPr="00422A92" w:rsidRDefault="009225FB" w:rsidP="009225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25FB">
              <w:rPr>
                <w:rFonts w:cstheme="minorHAnsi"/>
              </w:rPr>
              <w:t>Increase funding for deferred maintenance by 10% annually</w:t>
            </w:r>
          </w:p>
          <w:p w14:paraId="56CC2968" w14:textId="77777777" w:rsidR="00422A92" w:rsidRPr="00422A92" w:rsidRDefault="00422A92" w:rsidP="009225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Increase the number of university buildings rated “fully accessible”</w:t>
            </w:r>
          </w:p>
          <w:p w14:paraId="602E8DC4" w14:textId="77777777" w:rsidR="00422A92" w:rsidRPr="00422A92" w:rsidRDefault="00422A92" w:rsidP="009225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 xml:space="preserve">Increase the number student organizations and the number of faculty sponsoring student </w:t>
            </w:r>
            <w:proofErr w:type="spellStart"/>
            <w:r>
              <w:rPr>
                <w:rFonts w:cstheme="minorHAnsi"/>
              </w:rPr>
              <w:t>orgainizations</w:t>
            </w:r>
            <w:proofErr w:type="spellEnd"/>
          </w:p>
          <w:p w14:paraId="1FD508C1" w14:textId="1AE66138" w:rsidR="00422A92" w:rsidRPr="009225FB" w:rsidRDefault="00422A92" w:rsidP="009225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Increase participation in preventative medical care and other health and wellness programs and offerings.</w:t>
            </w:r>
          </w:p>
        </w:tc>
        <w:tc>
          <w:tcPr>
            <w:tcW w:w="1340" w:type="dxa"/>
            <w:shd w:val="clear" w:color="auto" w:fill="auto"/>
          </w:tcPr>
          <w:p w14:paraId="4ABD9AFF" w14:textId="03ED7A65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$1.4 million</w:t>
            </w:r>
          </w:p>
        </w:tc>
        <w:tc>
          <w:tcPr>
            <w:tcW w:w="1403" w:type="dxa"/>
            <w:shd w:val="clear" w:color="auto" w:fill="auto"/>
          </w:tcPr>
          <w:p w14:paraId="66EFFC08" w14:textId="487D253F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$2.25 million</w:t>
            </w:r>
          </w:p>
        </w:tc>
      </w:tr>
    </w:tbl>
    <w:p w14:paraId="0B7F8CDF" w14:textId="77777777" w:rsidR="007427B2" w:rsidRDefault="007427B2">
      <w:pPr>
        <w:rPr>
          <w:rFonts w:asciiTheme="minorHAnsi" w:hAnsiTheme="minorHAnsi"/>
          <w:b/>
        </w:rPr>
      </w:pPr>
    </w:p>
    <w:p w14:paraId="3A8E215D" w14:textId="3EEFAAFD" w:rsidR="007427B2" w:rsidRDefault="007427B2">
      <w:r>
        <w:br w:type="page"/>
      </w:r>
      <w:bookmarkStart w:id="0" w:name="_GoBack"/>
      <w:bookmarkEnd w:id="0"/>
    </w:p>
    <w:p w14:paraId="2082EDD2" w14:textId="77777777" w:rsidR="007427B2" w:rsidRPr="00BC7D15" w:rsidRDefault="007427B2" w:rsidP="001C3022"/>
    <w:p w14:paraId="268D0470" w14:textId="77777777" w:rsidR="00BC7D15" w:rsidRPr="000C49E1" w:rsidRDefault="003A7E4E" w:rsidP="00395CD3">
      <w:pPr>
        <w:pBdr>
          <w:bottom w:val="single" w:sz="4" w:space="1" w:color="auto"/>
        </w:pBdr>
        <w:rPr>
          <w:b/>
          <w:color w:val="4B116D"/>
          <w:sz w:val="32"/>
        </w:rPr>
      </w:pPr>
      <w:r w:rsidRPr="000C49E1">
        <w:rPr>
          <w:b/>
          <w:color w:val="4B116D"/>
          <w:sz w:val="32"/>
        </w:rPr>
        <w:t>Supporting</w:t>
      </w:r>
      <w:r w:rsidR="00BC7D15" w:rsidRPr="000C49E1">
        <w:rPr>
          <w:b/>
          <w:color w:val="4B116D"/>
          <w:sz w:val="32"/>
        </w:rPr>
        <w:t xml:space="preserve"> Goal 3:  Community Engagement </w:t>
      </w:r>
    </w:p>
    <w:p w14:paraId="0AEFF137" w14:textId="55E26E92" w:rsidR="00BC7D15" w:rsidRPr="001C3022" w:rsidRDefault="00BC7D15" w:rsidP="001C3022">
      <w:pPr>
        <w:spacing w:line="360" w:lineRule="auto"/>
        <w:rPr>
          <w:b/>
          <w:sz w:val="28"/>
        </w:rPr>
      </w:pPr>
      <w:r w:rsidRPr="001C3022">
        <w:rPr>
          <w:b/>
          <w:sz w:val="28"/>
        </w:rPr>
        <w:t xml:space="preserve">Create opportunities for students, faculty, and staff to build external relationships </w:t>
      </w:r>
      <w:r w:rsidR="00C94912">
        <w:rPr>
          <w:b/>
          <w:sz w:val="28"/>
        </w:rPr>
        <w:t>that</w:t>
      </w:r>
      <w:r w:rsidRPr="001C3022">
        <w:rPr>
          <w:b/>
          <w:sz w:val="28"/>
        </w:rPr>
        <w:t xml:space="preserve"> enhance </w:t>
      </w:r>
      <w:r w:rsidR="007E7AE2" w:rsidRPr="0029064C">
        <w:rPr>
          <w:b/>
          <w:sz w:val="28"/>
        </w:rPr>
        <w:t>local and global</w:t>
      </w:r>
      <w:r w:rsidR="007E7AE2">
        <w:rPr>
          <w:b/>
          <w:sz w:val="28"/>
        </w:rPr>
        <w:t xml:space="preserve"> </w:t>
      </w:r>
      <w:r w:rsidRPr="001C3022">
        <w:rPr>
          <w:b/>
          <w:sz w:val="28"/>
        </w:rPr>
        <w:t xml:space="preserve">learning experiences and contribute </w:t>
      </w:r>
      <w:r w:rsidR="00C94912">
        <w:rPr>
          <w:b/>
          <w:sz w:val="28"/>
        </w:rPr>
        <w:t xml:space="preserve">to </w:t>
      </w:r>
      <w:r w:rsidR="00E702CE">
        <w:rPr>
          <w:b/>
          <w:sz w:val="28"/>
        </w:rPr>
        <w:t xml:space="preserve">the </w:t>
      </w:r>
      <w:r w:rsidRPr="001C3022">
        <w:rPr>
          <w:b/>
          <w:sz w:val="28"/>
        </w:rPr>
        <w:t xml:space="preserve">cultural and economic vitality of the </w:t>
      </w:r>
      <w:r w:rsidR="002D6474">
        <w:rPr>
          <w:b/>
          <w:sz w:val="28"/>
        </w:rPr>
        <w:t>Cedar Valley</w:t>
      </w:r>
      <w:r w:rsidRPr="001C3022">
        <w:rPr>
          <w:b/>
          <w:sz w:val="28"/>
        </w:rPr>
        <w:t xml:space="preserve"> and </w:t>
      </w:r>
      <w:r w:rsidR="002D6474">
        <w:rPr>
          <w:b/>
          <w:sz w:val="28"/>
        </w:rPr>
        <w:t>Iowa</w:t>
      </w:r>
      <w:r w:rsidRPr="001C3022">
        <w:rPr>
          <w:b/>
          <w:sz w:val="28"/>
        </w:rPr>
        <w:t xml:space="preserve">. </w:t>
      </w:r>
    </w:p>
    <w:p w14:paraId="0089C2FB" w14:textId="77777777" w:rsidR="009225FB" w:rsidRDefault="009225FB" w:rsidP="009225FB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225FB" w14:paraId="521DEDAA" w14:textId="77777777" w:rsidTr="009225FB">
        <w:tc>
          <w:tcPr>
            <w:tcW w:w="9360" w:type="dxa"/>
            <w:shd w:val="clear" w:color="auto" w:fill="4B116D"/>
          </w:tcPr>
          <w:p w14:paraId="4009C6D7" w14:textId="77777777" w:rsidR="009225FB" w:rsidRPr="00EF3F40" w:rsidRDefault="009225FB" w:rsidP="006D3E53">
            <w:pPr>
              <w:rPr>
                <w:rFonts w:asciiTheme="minorHAnsi" w:hAnsiTheme="minorHAnsi"/>
                <w:b/>
              </w:rPr>
            </w:pPr>
            <w:r w:rsidRPr="00EF3F40">
              <w:rPr>
                <w:rFonts w:asciiTheme="minorHAnsi" w:hAnsiTheme="minorHAnsi"/>
                <w:b/>
              </w:rPr>
              <w:t>Strategic Initiatives:</w:t>
            </w:r>
            <w:r w:rsidRPr="00EF3F40">
              <w:rPr>
                <w:rFonts w:asciiTheme="minorHAnsi" w:hAnsiTheme="minorHAnsi"/>
              </w:rPr>
              <w:t xml:space="preserve">  </w:t>
            </w:r>
          </w:p>
        </w:tc>
      </w:tr>
      <w:tr w:rsidR="009225FB" w14:paraId="56C67DE0" w14:textId="77777777" w:rsidTr="009225FB">
        <w:tc>
          <w:tcPr>
            <w:tcW w:w="9360" w:type="dxa"/>
          </w:tcPr>
          <w:p w14:paraId="42BBCB53" w14:textId="77777777" w:rsidR="009225FB" w:rsidRDefault="009225FB" w:rsidP="009225FB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Build and strengthen relationships and partnerships with Cedar Valley and statewide businesses, organizations, and educational institutions to increase diverse experiences and embrace the changing demographics and economic base of Iowa.</w:t>
            </w:r>
          </w:p>
          <w:p w14:paraId="3973FD61" w14:textId="77777777" w:rsidR="009225FB" w:rsidRDefault="009225FB" w:rsidP="009225FB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Provide all students with a community engagement experience.</w:t>
            </w:r>
          </w:p>
          <w:p w14:paraId="31CC3DFE" w14:textId="77777777" w:rsidR="009225FB" w:rsidRDefault="009225FB" w:rsidP="009225FB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Establish a central access point for community engagement to improve communication and promote campus engagement and participation.</w:t>
            </w:r>
          </w:p>
          <w:p w14:paraId="483C9254" w14:textId="03730541" w:rsidR="009225FB" w:rsidRDefault="009225FB" w:rsidP="009225FB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contextualSpacing w:val="0"/>
            </w:pPr>
            <w:r>
              <w:t>Reward and support faculty and staff outreach and community engagement.</w:t>
            </w:r>
          </w:p>
        </w:tc>
      </w:tr>
    </w:tbl>
    <w:tbl>
      <w:tblPr>
        <w:tblW w:w="9360" w:type="dxa"/>
        <w:tblLook w:val="04A0" w:firstRow="1" w:lastRow="0" w:firstColumn="1" w:lastColumn="0" w:noHBand="0" w:noVBand="1"/>
      </w:tblPr>
      <w:tblGrid>
        <w:gridCol w:w="6617"/>
        <w:gridCol w:w="1340"/>
        <w:gridCol w:w="1403"/>
      </w:tblGrid>
      <w:tr w:rsidR="009225FB" w:rsidRPr="00123959" w14:paraId="76EFAFA4" w14:textId="77777777" w:rsidTr="006D3E53">
        <w:trPr>
          <w:trHeight w:val="600"/>
        </w:trPr>
        <w:tc>
          <w:tcPr>
            <w:tcW w:w="6617" w:type="dxa"/>
            <w:shd w:val="clear" w:color="auto" w:fill="4B116D"/>
            <w:vAlign w:val="bottom"/>
            <w:hideMark/>
          </w:tcPr>
          <w:p w14:paraId="054879B2" w14:textId="77777777" w:rsidR="009225FB" w:rsidRPr="00123959" w:rsidRDefault="009225FB" w:rsidP="006D3E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  <w:t>METRIC</w:t>
            </w:r>
          </w:p>
        </w:tc>
        <w:tc>
          <w:tcPr>
            <w:tcW w:w="1340" w:type="dxa"/>
            <w:shd w:val="clear" w:color="auto" w:fill="4B116D"/>
            <w:vAlign w:val="bottom"/>
            <w:hideMark/>
          </w:tcPr>
          <w:p w14:paraId="48715C55" w14:textId="77777777" w:rsidR="009225FB" w:rsidRPr="00123959" w:rsidRDefault="009225FB" w:rsidP="006D3E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  <w:t>BASE YEAR</w:t>
            </w:r>
          </w:p>
        </w:tc>
        <w:tc>
          <w:tcPr>
            <w:tcW w:w="1403" w:type="dxa"/>
            <w:shd w:val="clear" w:color="auto" w:fill="4B116D"/>
            <w:vAlign w:val="bottom"/>
            <w:hideMark/>
          </w:tcPr>
          <w:p w14:paraId="3FF00B56" w14:textId="77777777" w:rsidR="009225FB" w:rsidRPr="00123959" w:rsidRDefault="009225FB" w:rsidP="006D3E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1239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2"/>
              </w:rPr>
              <w:t>5 YR. TARGET</w:t>
            </w:r>
          </w:p>
        </w:tc>
      </w:tr>
      <w:tr w:rsidR="009225FB" w:rsidRPr="00123959" w14:paraId="678DA7BD" w14:textId="77777777" w:rsidTr="006D3E53">
        <w:trPr>
          <w:trHeight w:val="20"/>
        </w:trPr>
        <w:tc>
          <w:tcPr>
            <w:tcW w:w="6617" w:type="dxa"/>
            <w:shd w:val="clear" w:color="auto" w:fill="auto"/>
          </w:tcPr>
          <w:p w14:paraId="643218C4" w14:textId="346EF911" w:rsidR="009225FB" w:rsidRPr="009225FB" w:rsidRDefault="009225FB" w:rsidP="00922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3D1F">
              <w:t>Increase the Percent of Participation score to 30 as reported in the NASCE survey (by fall 2019 reach 23)</w:t>
            </w:r>
          </w:p>
        </w:tc>
        <w:tc>
          <w:tcPr>
            <w:tcW w:w="1340" w:type="dxa"/>
            <w:shd w:val="clear" w:color="auto" w:fill="auto"/>
          </w:tcPr>
          <w:p w14:paraId="70ED1082" w14:textId="2055D94B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1403" w:type="dxa"/>
            <w:shd w:val="clear" w:color="auto" w:fill="auto"/>
          </w:tcPr>
          <w:p w14:paraId="519F4E5A" w14:textId="187DDD1A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30</w:t>
            </w:r>
          </w:p>
        </w:tc>
      </w:tr>
      <w:tr w:rsidR="009225FB" w:rsidRPr="00123959" w14:paraId="30D371EE" w14:textId="77777777" w:rsidTr="006D3E53">
        <w:trPr>
          <w:trHeight w:val="20"/>
        </w:trPr>
        <w:tc>
          <w:tcPr>
            <w:tcW w:w="6617" w:type="dxa"/>
            <w:shd w:val="clear" w:color="auto" w:fill="auto"/>
          </w:tcPr>
          <w:p w14:paraId="4068DDB8" w14:textId="2F97F388" w:rsidR="009225FB" w:rsidRPr="009225FB" w:rsidRDefault="009225FB" w:rsidP="00922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3D1F">
              <w:t>Increase the number of community projects reported by students to 10% annually.</w:t>
            </w:r>
          </w:p>
        </w:tc>
        <w:tc>
          <w:tcPr>
            <w:tcW w:w="1340" w:type="dxa"/>
            <w:shd w:val="clear" w:color="auto" w:fill="auto"/>
          </w:tcPr>
          <w:p w14:paraId="120EB071" w14:textId="73666E03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 xml:space="preserve">about 300 </w:t>
            </w:r>
            <w:proofErr w:type="gramStart"/>
            <w:r w:rsidRPr="009225FB">
              <w:rPr>
                <w:rFonts w:asciiTheme="minorHAnsi" w:hAnsiTheme="minorHAnsi" w:cstheme="minorHAnsi"/>
                <w:sz w:val="22"/>
              </w:rPr>
              <w:t>report</w:t>
            </w:r>
            <w:proofErr w:type="gramEnd"/>
            <w:r w:rsidRPr="009225FB">
              <w:rPr>
                <w:rFonts w:asciiTheme="minorHAnsi" w:hAnsiTheme="minorHAnsi" w:cstheme="minorHAnsi"/>
                <w:sz w:val="22"/>
              </w:rPr>
              <w:t xml:space="preserve"> annually</w:t>
            </w:r>
          </w:p>
        </w:tc>
        <w:tc>
          <w:tcPr>
            <w:tcW w:w="1403" w:type="dxa"/>
            <w:shd w:val="clear" w:color="auto" w:fill="auto"/>
          </w:tcPr>
          <w:p w14:paraId="5893954C" w14:textId="3B975F7A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500</w:t>
            </w:r>
          </w:p>
        </w:tc>
      </w:tr>
      <w:tr w:rsidR="009225FB" w:rsidRPr="00123959" w14:paraId="131F6B87" w14:textId="77777777" w:rsidTr="006D3E53">
        <w:trPr>
          <w:trHeight w:val="20"/>
        </w:trPr>
        <w:tc>
          <w:tcPr>
            <w:tcW w:w="6617" w:type="dxa"/>
            <w:shd w:val="clear" w:color="auto" w:fill="auto"/>
          </w:tcPr>
          <w:p w14:paraId="3AC691D3" w14:textId="3936A4DC" w:rsidR="009225FB" w:rsidRPr="009225FB" w:rsidRDefault="009225FB" w:rsidP="00922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3D1F">
              <w:t>Increase percent of students that report at least some of their courses included a community-based service-learning project to 60% (first-year) and 90% (seniors)</w:t>
            </w:r>
          </w:p>
        </w:tc>
        <w:tc>
          <w:tcPr>
            <w:tcW w:w="1340" w:type="dxa"/>
            <w:shd w:val="clear" w:color="auto" w:fill="auto"/>
          </w:tcPr>
          <w:p w14:paraId="6ED527BD" w14:textId="005F6816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2015 48% first-year; 68% seniors</w:t>
            </w:r>
          </w:p>
        </w:tc>
        <w:tc>
          <w:tcPr>
            <w:tcW w:w="1403" w:type="dxa"/>
            <w:shd w:val="clear" w:color="auto" w:fill="auto"/>
          </w:tcPr>
          <w:p w14:paraId="02626092" w14:textId="6728D780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60%; 90%</w:t>
            </w:r>
          </w:p>
        </w:tc>
      </w:tr>
      <w:tr w:rsidR="009225FB" w:rsidRPr="00123959" w14:paraId="3A6F929E" w14:textId="77777777" w:rsidTr="006D3E53">
        <w:trPr>
          <w:trHeight w:val="20"/>
        </w:trPr>
        <w:tc>
          <w:tcPr>
            <w:tcW w:w="6617" w:type="dxa"/>
            <w:shd w:val="clear" w:color="auto" w:fill="auto"/>
          </w:tcPr>
          <w:p w14:paraId="376CCD26" w14:textId="24E03C98" w:rsidR="009225FB" w:rsidRPr="009225FB" w:rsidRDefault="009225FB" w:rsidP="00922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3D1F">
              <w:t>Increase the percent of student that report participating in community service to 80% (by fall 2019 to 55%) over the next 10 years</w:t>
            </w:r>
          </w:p>
        </w:tc>
        <w:tc>
          <w:tcPr>
            <w:tcW w:w="1340" w:type="dxa"/>
            <w:shd w:val="clear" w:color="auto" w:fill="auto"/>
          </w:tcPr>
          <w:p w14:paraId="6406F0A3" w14:textId="49815515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50%</w:t>
            </w:r>
          </w:p>
        </w:tc>
        <w:tc>
          <w:tcPr>
            <w:tcW w:w="1403" w:type="dxa"/>
            <w:shd w:val="clear" w:color="auto" w:fill="auto"/>
          </w:tcPr>
          <w:p w14:paraId="794A8224" w14:textId="01A9D382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80%</w:t>
            </w:r>
          </w:p>
        </w:tc>
      </w:tr>
      <w:tr w:rsidR="009225FB" w:rsidRPr="00123959" w14:paraId="31F5C387" w14:textId="77777777" w:rsidTr="006D3E53">
        <w:trPr>
          <w:trHeight w:val="20"/>
        </w:trPr>
        <w:tc>
          <w:tcPr>
            <w:tcW w:w="6617" w:type="dxa"/>
            <w:shd w:val="clear" w:color="auto" w:fill="auto"/>
          </w:tcPr>
          <w:p w14:paraId="655894D5" w14:textId="6B23E3A3" w:rsidR="009225FB" w:rsidRPr="009225FB" w:rsidRDefault="009225FB" w:rsidP="00922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3D1F">
              <w:t>Increase the percent of students that report being satisfied with their level of involvement in community service to 90% (by fall 2019 to 38%)</w:t>
            </w:r>
          </w:p>
        </w:tc>
        <w:tc>
          <w:tcPr>
            <w:tcW w:w="1340" w:type="dxa"/>
            <w:shd w:val="clear" w:color="auto" w:fill="auto"/>
          </w:tcPr>
          <w:p w14:paraId="12529CA1" w14:textId="5AE0D402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32%</w:t>
            </w:r>
          </w:p>
        </w:tc>
        <w:tc>
          <w:tcPr>
            <w:tcW w:w="1403" w:type="dxa"/>
            <w:shd w:val="clear" w:color="auto" w:fill="auto"/>
          </w:tcPr>
          <w:p w14:paraId="064F7986" w14:textId="7E323667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60%</w:t>
            </w:r>
          </w:p>
        </w:tc>
      </w:tr>
      <w:tr w:rsidR="009225FB" w:rsidRPr="00123959" w14:paraId="791B8E21" w14:textId="77777777" w:rsidTr="006D3E53">
        <w:trPr>
          <w:trHeight w:val="20"/>
        </w:trPr>
        <w:tc>
          <w:tcPr>
            <w:tcW w:w="6617" w:type="dxa"/>
            <w:shd w:val="clear" w:color="auto" w:fill="auto"/>
          </w:tcPr>
          <w:p w14:paraId="5B54CD2D" w14:textId="675DF9E9" w:rsidR="009225FB" w:rsidRPr="009225FB" w:rsidRDefault="009225FB" w:rsidP="00922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3D1F">
              <w:t xml:space="preserve">Increase the percent of students (first-year and seniors) that report connecting their learning to societal problems or issues “very often” or “often” to 60% and 90% by spring 2022 </w:t>
            </w:r>
          </w:p>
        </w:tc>
        <w:tc>
          <w:tcPr>
            <w:tcW w:w="1340" w:type="dxa"/>
            <w:shd w:val="clear" w:color="auto" w:fill="auto"/>
          </w:tcPr>
          <w:p w14:paraId="5F501FDF" w14:textId="1B496073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2015 53% first-year; 67% seniors</w:t>
            </w:r>
          </w:p>
        </w:tc>
        <w:tc>
          <w:tcPr>
            <w:tcW w:w="1403" w:type="dxa"/>
            <w:shd w:val="clear" w:color="auto" w:fill="auto"/>
          </w:tcPr>
          <w:p w14:paraId="1FE396C4" w14:textId="6905D878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60%; 90%</w:t>
            </w:r>
          </w:p>
        </w:tc>
      </w:tr>
      <w:tr w:rsidR="009225FB" w:rsidRPr="00123959" w14:paraId="52BDA3DF" w14:textId="77777777" w:rsidTr="006D3E53">
        <w:trPr>
          <w:trHeight w:val="20"/>
        </w:trPr>
        <w:tc>
          <w:tcPr>
            <w:tcW w:w="6617" w:type="dxa"/>
            <w:shd w:val="clear" w:color="auto" w:fill="auto"/>
          </w:tcPr>
          <w:p w14:paraId="563D1B72" w14:textId="204E5261" w:rsidR="009225FB" w:rsidRPr="009225FB" w:rsidRDefault="009225FB" w:rsidP="00922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3D1F">
              <w:t xml:space="preserve">Increase the number of unique businesses and community clients served by 15% over the next 5 </w:t>
            </w:r>
            <w:proofErr w:type="gramStart"/>
            <w:r w:rsidRPr="00E63D1F">
              <w:t>years  (</w:t>
            </w:r>
            <w:proofErr w:type="gramEnd"/>
            <w:r w:rsidRPr="00E63D1F">
              <w:t>5-year rolling average)</w:t>
            </w:r>
          </w:p>
        </w:tc>
        <w:tc>
          <w:tcPr>
            <w:tcW w:w="1340" w:type="dxa"/>
            <w:shd w:val="clear" w:color="auto" w:fill="auto"/>
          </w:tcPr>
          <w:p w14:paraId="0152CF6A" w14:textId="77BB2475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2,280</w:t>
            </w:r>
          </w:p>
        </w:tc>
        <w:tc>
          <w:tcPr>
            <w:tcW w:w="1403" w:type="dxa"/>
            <w:shd w:val="clear" w:color="auto" w:fill="auto"/>
          </w:tcPr>
          <w:p w14:paraId="60EBD7AB" w14:textId="617298CF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2,625</w:t>
            </w:r>
          </w:p>
        </w:tc>
      </w:tr>
      <w:tr w:rsidR="009225FB" w:rsidRPr="00123959" w14:paraId="6E486850" w14:textId="77777777" w:rsidTr="006D3E53">
        <w:trPr>
          <w:trHeight w:val="20"/>
        </w:trPr>
        <w:tc>
          <w:tcPr>
            <w:tcW w:w="6617" w:type="dxa"/>
            <w:shd w:val="clear" w:color="auto" w:fill="auto"/>
          </w:tcPr>
          <w:p w14:paraId="73CDFF81" w14:textId="045D243B" w:rsidR="009225FB" w:rsidRPr="009225FB" w:rsidRDefault="009225FB" w:rsidP="00922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3D1F">
              <w:t>Increase the percentage of departments that develop a strategic plan incorporating community engagement in their teaching, research and service</w:t>
            </w:r>
          </w:p>
        </w:tc>
        <w:tc>
          <w:tcPr>
            <w:tcW w:w="1340" w:type="dxa"/>
            <w:shd w:val="clear" w:color="auto" w:fill="auto"/>
          </w:tcPr>
          <w:p w14:paraId="40CFEACE" w14:textId="0443958C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??</w:t>
            </w:r>
          </w:p>
        </w:tc>
        <w:tc>
          <w:tcPr>
            <w:tcW w:w="1403" w:type="dxa"/>
            <w:shd w:val="clear" w:color="auto" w:fill="auto"/>
          </w:tcPr>
          <w:p w14:paraId="036FACE4" w14:textId="2FCCD27C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60%</w:t>
            </w:r>
          </w:p>
        </w:tc>
      </w:tr>
      <w:tr w:rsidR="009225FB" w:rsidRPr="00123959" w14:paraId="7932E5E9" w14:textId="77777777" w:rsidTr="006D3E53">
        <w:trPr>
          <w:trHeight w:val="20"/>
        </w:trPr>
        <w:tc>
          <w:tcPr>
            <w:tcW w:w="6617" w:type="dxa"/>
            <w:shd w:val="clear" w:color="auto" w:fill="auto"/>
          </w:tcPr>
          <w:p w14:paraId="233C4034" w14:textId="5FB3A27B" w:rsidR="009225FB" w:rsidRPr="009225FB" w:rsidRDefault="009225FB" w:rsidP="00922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3D1F">
              <w:t>Achieve the percentage of faculty and staff recognized for community engagement</w:t>
            </w:r>
          </w:p>
        </w:tc>
        <w:tc>
          <w:tcPr>
            <w:tcW w:w="1340" w:type="dxa"/>
            <w:shd w:val="clear" w:color="auto" w:fill="auto"/>
          </w:tcPr>
          <w:p w14:paraId="5977DFC8" w14:textId="5AF68DEC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66D0F424" w14:textId="096D34CF" w:rsidR="009225FB" w:rsidRPr="00123959" w:rsidRDefault="009225FB" w:rsidP="009225FB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9225FB">
              <w:rPr>
                <w:rFonts w:asciiTheme="minorHAnsi" w:hAnsiTheme="minorHAnsi" w:cstheme="minorHAnsi"/>
                <w:sz w:val="22"/>
              </w:rPr>
              <w:t>50%</w:t>
            </w:r>
          </w:p>
        </w:tc>
      </w:tr>
    </w:tbl>
    <w:p w14:paraId="791A5B65" w14:textId="77777777" w:rsidR="009225FB" w:rsidRDefault="009225FB" w:rsidP="009225FB">
      <w:pPr>
        <w:rPr>
          <w:rFonts w:asciiTheme="minorHAnsi" w:hAnsiTheme="minorHAnsi"/>
          <w:b/>
        </w:rPr>
      </w:pPr>
    </w:p>
    <w:p w14:paraId="32058B1F" w14:textId="2DA3A22E" w:rsidR="00BD4DB8" w:rsidRDefault="00BD4DB8" w:rsidP="00BD4DB8"/>
    <w:p w14:paraId="314AF9DD" w14:textId="77A1F1FE" w:rsidR="00412D94" w:rsidRDefault="00412D94" w:rsidP="001C3022"/>
    <w:sectPr w:rsidR="00412D94" w:rsidSect="00BF7AC6">
      <w:footerReference w:type="default" r:id="rId10"/>
      <w:pgSz w:w="12240" w:h="15840"/>
      <w:pgMar w:top="540" w:right="1260" w:bottom="720" w:left="126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6DB48" w14:textId="77777777" w:rsidR="002C3231" w:rsidRDefault="002C3231" w:rsidP="00395CD3">
      <w:r>
        <w:separator/>
      </w:r>
    </w:p>
  </w:endnote>
  <w:endnote w:type="continuationSeparator" w:id="0">
    <w:p w14:paraId="11CF0387" w14:textId="77777777" w:rsidR="002C3231" w:rsidRDefault="002C3231" w:rsidP="0039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7DA1" w14:textId="77777777" w:rsidR="002C3231" w:rsidRDefault="002C3231">
    <w:pPr>
      <w:pStyle w:val="Footer"/>
      <w:jc w:val="right"/>
    </w:pPr>
  </w:p>
  <w:p w14:paraId="10726CEC" w14:textId="77777777" w:rsidR="002C3231" w:rsidRDefault="002C32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A7FD6" w14:textId="0608B5DC" w:rsidR="002C3231" w:rsidRDefault="002C3231" w:rsidP="000C49E1">
    <w:pPr>
      <w:pStyle w:val="Footer"/>
      <w:spacing w:before="12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D0DDF" wp14:editId="4CB9EF17">
              <wp:simplePos x="0" y="0"/>
              <wp:positionH relativeFrom="column">
                <wp:posOffset>19049</wp:posOffset>
              </wp:positionH>
              <wp:positionV relativeFrom="paragraph">
                <wp:posOffset>22861</wp:posOffset>
              </wp:positionV>
              <wp:extent cx="59721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4B11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03BC82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.8pt" to="471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" strokecolor="#4b116d" strokeweight="3pt">
              <v:stroke joinstyle="miter"/>
            </v:line>
          </w:pict>
        </mc:Fallback>
      </mc:AlternateContent>
    </w:r>
    <w:r>
      <w:rPr>
        <w:noProof/>
      </w:rPr>
      <w:t>UNI</w:t>
    </w:r>
    <w:r w:rsidRPr="000C49E1">
      <w:rPr>
        <w:noProof/>
      </w:rPr>
      <w:t xml:space="preserve"> Strategic Plan 2017-2022</w:t>
    </w:r>
    <w:r w:rsidRPr="000C49E1">
      <w:rPr>
        <w:noProof/>
      </w:rPr>
      <w:ptab w:relativeTo="margin" w:alignment="center" w:leader="none"/>
    </w:r>
    <w:r w:rsidRPr="000C49E1">
      <w:rPr>
        <w:noProof/>
      </w:rPr>
      <w:ptab w:relativeTo="margin" w:alignment="right" w:leader="none"/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422A9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6AEC5" w14:textId="77777777" w:rsidR="002C3231" w:rsidRDefault="002C3231" w:rsidP="00395CD3">
      <w:r>
        <w:separator/>
      </w:r>
    </w:p>
  </w:footnote>
  <w:footnote w:type="continuationSeparator" w:id="0">
    <w:p w14:paraId="617E8FB2" w14:textId="77777777" w:rsidR="002C3231" w:rsidRDefault="002C3231" w:rsidP="0039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563D"/>
    <w:multiLevelType w:val="hybridMultilevel"/>
    <w:tmpl w:val="588413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446D4"/>
    <w:multiLevelType w:val="hybridMultilevel"/>
    <w:tmpl w:val="CD889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D7413"/>
    <w:multiLevelType w:val="hybridMultilevel"/>
    <w:tmpl w:val="CD889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DE04C8"/>
    <w:multiLevelType w:val="hybridMultilevel"/>
    <w:tmpl w:val="588413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36690"/>
    <w:multiLevelType w:val="hybridMultilevel"/>
    <w:tmpl w:val="CD889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DA54E7"/>
    <w:multiLevelType w:val="hybridMultilevel"/>
    <w:tmpl w:val="CD889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C03A1F"/>
    <w:multiLevelType w:val="hybridMultilevel"/>
    <w:tmpl w:val="CD889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B11419"/>
    <w:multiLevelType w:val="hybridMultilevel"/>
    <w:tmpl w:val="588413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6F7318"/>
    <w:multiLevelType w:val="hybridMultilevel"/>
    <w:tmpl w:val="CD889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5071FA"/>
    <w:multiLevelType w:val="hybridMultilevel"/>
    <w:tmpl w:val="6B78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826A6"/>
    <w:multiLevelType w:val="hybridMultilevel"/>
    <w:tmpl w:val="CD889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962BED"/>
    <w:multiLevelType w:val="hybridMultilevel"/>
    <w:tmpl w:val="588413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D77594"/>
    <w:multiLevelType w:val="hybridMultilevel"/>
    <w:tmpl w:val="C27A4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F653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63681B12">
      <w:numFmt w:val="bullet"/>
      <w:lvlText w:val="•"/>
      <w:lvlJc w:val="left"/>
      <w:pPr>
        <w:ind w:left="5040" w:hanging="720"/>
      </w:pPr>
      <w:rPr>
        <w:rFonts w:ascii="Calibri" w:eastAsiaTheme="minorHAnsi" w:hAnsi="Calibri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94"/>
    <w:rsid w:val="000103D1"/>
    <w:rsid w:val="00021585"/>
    <w:rsid w:val="00054600"/>
    <w:rsid w:val="00064633"/>
    <w:rsid w:val="00072219"/>
    <w:rsid w:val="00092D6C"/>
    <w:rsid w:val="000C49E1"/>
    <w:rsid w:val="000C59DD"/>
    <w:rsid w:val="00102246"/>
    <w:rsid w:val="00110FFF"/>
    <w:rsid w:val="00113925"/>
    <w:rsid w:val="00123959"/>
    <w:rsid w:val="001310BE"/>
    <w:rsid w:val="001336A4"/>
    <w:rsid w:val="00135685"/>
    <w:rsid w:val="00170EB8"/>
    <w:rsid w:val="001723BD"/>
    <w:rsid w:val="00187CDD"/>
    <w:rsid w:val="00195BC5"/>
    <w:rsid w:val="001A705F"/>
    <w:rsid w:val="001C192C"/>
    <w:rsid w:val="001C3022"/>
    <w:rsid w:val="001F627A"/>
    <w:rsid w:val="00202B64"/>
    <w:rsid w:val="00207658"/>
    <w:rsid w:val="00227D58"/>
    <w:rsid w:val="00245D98"/>
    <w:rsid w:val="0029064C"/>
    <w:rsid w:val="002A2442"/>
    <w:rsid w:val="002A6F70"/>
    <w:rsid w:val="002C248D"/>
    <w:rsid w:val="002C3231"/>
    <w:rsid w:val="002D13FC"/>
    <w:rsid w:val="002D6474"/>
    <w:rsid w:val="002E1382"/>
    <w:rsid w:val="002F1B6D"/>
    <w:rsid w:val="003534DB"/>
    <w:rsid w:val="00380063"/>
    <w:rsid w:val="00387174"/>
    <w:rsid w:val="0039042C"/>
    <w:rsid w:val="00395CD3"/>
    <w:rsid w:val="003A65F7"/>
    <w:rsid w:val="003A7E4E"/>
    <w:rsid w:val="003B39A7"/>
    <w:rsid w:val="003B4390"/>
    <w:rsid w:val="003C098C"/>
    <w:rsid w:val="00412D94"/>
    <w:rsid w:val="00421D38"/>
    <w:rsid w:val="00422A92"/>
    <w:rsid w:val="004926DD"/>
    <w:rsid w:val="004B38F9"/>
    <w:rsid w:val="004C56E1"/>
    <w:rsid w:val="004C5BB3"/>
    <w:rsid w:val="004D639F"/>
    <w:rsid w:val="004E00B0"/>
    <w:rsid w:val="004E40FB"/>
    <w:rsid w:val="00507801"/>
    <w:rsid w:val="0052420C"/>
    <w:rsid w:val="0052584A"/>
    <w:rsid w:val="00545D98"/>
    <w:rsid w:val="005570E1"/>
    <w:rsid w:val="00557FB8"/>
    <w:rsid w:val="00590D3B"/>
    <w:rsid w:val="005A546D"/>
    <w:rsid w:val="005C796F"/>
    <w:rsid w:val="005E2881"/>
    <w:rsid w:val="005F7E38"/>
    <w:rsid w:val="006009FB"/>
    <w:rsid w:val="00610073"/>
    <w:rsid w:val="00642945"/>
    <w:rsid w:val="00660226"/>
    <w:rsid w:val="00683C12"/>
    <w:rsid w:val="006D3E53"/>
    <w:rsid w:val="006E1A18"/>
    <w:rsid w:val="00712334"/>
    <w:rsid w:val="007427B2"/>
    <w:rsid w:val="00751723"/>
    <w:rsid w:val="00786070"/>
    <w:rsid w:val="007B2D56"/>
    <w:rsid w:val="007C4F3B"/>
    <w:rsid w:val="007E7AE2"/>
    <w:rsid w:val="007F6CD1"/>
    <w:rsid w:val="00824556"/>
    <w:rsid w:val="0083113D"/>
    <w:rsid w:val="00832BF2"/>
    <w:rsid w:val="00885581"/>
    <w:rsid w:val="008A1819"/>
    <w:rsid w:val="008E6C84"/>
    <w:rsid w:val="008F5FC8"/>
    <w:rsid w:val="00921890"/>
    <w:rsid w:val="009225FB"/>
    <w:rsid w:val="009470DB"/>
    <w:rsid w:val="00961A14"/>
    <w:rsid w:val="0099143D"/>
    <w:rsid w:val="009A349C"/>
    <w:rsid w:val="00A0259F"/>
    <w:rsid w:val="00A10C76"/>
    <w:rsid w:val="00A34B1E"/>
    <w:rsid w:val="00A47588"/>
    <w:rsid w:val="00A91168"/>
    <w:rsid w:val="00A9746C"/>
    <w:rsid w:val="00AC1993"/>
    <w:rsid w:val="00AD5B6C"/>
    <w:rsid w:val="00AD5F81"/>
    <w:rsid w:val="00B017BA"/>
    <w:rsid w:val="00B0415B"/>
    <w:rsid w:val="00B14C4F"/>
    <w:rsid w:val="00B42F36"/>
    <w:rsid w:val="00B608BF"/>
    <w:rsid w:val="00B86027"/>
    <w:rsid w:val="00B9230C"/>
    <w:rsid w:val="00BC7837"/>
    <w:rsid w:val="00BC7D15"/>
    <w:rsid w:val="00BD26A8"/>
    <w:rsid w:val="00BD4DB8"/>
    <w:rsid w:val="00BD69F3"/>
    <w:rsid w:val="00BD7AAD"/>
    <w:rsid w:val="00BE3A8D"/>
    <w:rsid w:val="00BE7E9E"/>
    <w:rsid w:val="00BF1DF0"/>
    <w:rsid w:val="00BF65BD"/>
    <w:rsid w:val="00BF7AC6"/>
    <w:rsid w:val="00C040DB"/>
    <w:rsid w:val="00C84BFF"/>
    <w:rsid w:val="00C94912"/>
    <w:rsid w:val="00CA40B7"/>
    <w:rsid w:val="00CD2D30"/>
    <w:rsid w:val="00CF0648"/>
    <w:rsid w:val="00CF4B5C"/>
    <w:rsid w:val="00D006E0"/>
    <w:rsid w:val="00D0386F"/>
    <w:rsid w:val="00D04F85"/>
    <w:rsid w:val="00D32F86"/>
    <w:rsid w:val="00D407E3"/>
    <w:rsid w:val="00D42FD9"/>
    <w:rsid w:val="00D83679"/>
    <w:rsid w:val="00DA3762"/>
    <w:rsid w:val="00DB7978"/>
    <w:rsid w:val="00DC000D"/>
    <w:rsid w:val="00DD55C9"/>
    <w:rsid w:val="00E1241C"/>
    <w:rsid w:val="00E21185"/>
    <w:rsid w:val="00E21689"/>
    <w:rsid w:val="00E31FC6"/>
    <w:rsid w:val="00E4756B"/>
    <w:rsid w:val="00E47BA0"/>
    <w:rsid w:val="00E702CE"/>
    <w:rsid w:val="00E742F6"/>
    <w:rsid w:val="00E8200C"/>
    <w:rsid w:val="00EB25C2"/>
    <w:rsid w:val="00EF3F40"/>
    <w:rsid w:val="00F13893"/>
    <w:rsid w:val="00F22222"/>
    <w:rsid w:val="00F25345"/>
    <w:rsid w:val="00F650A2"/>
    <w:rsid w:val="00F95CF5"/>
    <w:rsid w:val="00FA281D"/>
    <w:rsid w:val="00FB2A75"/>
    <w:rsid w:val="00FC56E6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693E5C"/>
  <w15:docId w15:val="{D62CD211-4EEA-4AC2-88D9-7DD761DD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1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F3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CD3"/>
  </w:style>
  <w:style w:type="paragraph" w:styleId="Footer">
    <w:name w:val="footer"/>
    <w:basedOn w:val="Normal"/>
    <w:link w:val="FooterChar"/>
    <w:uiPriority w:val="99"/>
    <w:unhideWhenUsed/>
    <w:rsid w:val="00395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CD3"/>
  </w:style>
  <w:style w:type="paragraph" w:styleId="BalloonText">
    <w:name w:val="Balloon Text"/>
    <w:basedOn w:val="Normal"/>
    <w:link w:val="BalloonTextChar"/>
    <w:uiPriority w:val="99"/>
    <w:semiHidden/>
    <w:unhideWhenUsed/>
    <w:rsid w:val="00395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96CC-4DF8-BB41-8009-917C0443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1617</Words>
  <Characters>9217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 Conrad</dc:creator>
  <cp:lastModifiedBy>Microsoft Office User</cp:lastModifiedBy>
  <cp:revision>2</cp:revision>
  <cp:lastPrinted>2017-09-12T17:04:00Z</cp:lastPrinted>
  <dcterms:created xsi:type="dcterms:W3CDTF">2017-09-25T17:55:00Z</dcterms:created>
  <dcterms:modified xsi:type="dcterms:W3CDTF">2017-09-25T17:55:00Z</dcterms:modified>
</cp:coreProperties>
</file>